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8C_354/2024 vom 19. Juni 2024</w:t>
      </w:r>
    </w:p>
    <w:p>
      <w:r>
        <w:t>Bundesgericht, 2024-06-19, DE</w:t>
      </w:r>
    </w:p>
    <w:p>
      <w:r>
        <w:rPr>
          <w:b/>
        </w:rPr>
        <w:t xml:space="preserve">Quelle: </w:t>
      </w:r>
      <w:r>
        <w:t>https://mcp.opencaselaw.ch/entscheid/bger_8C_354_2024</w:t>
      </w:r>
    </w:p>
    <w:p>
      <w:r>
        <w:t>FR: TF 8C_354/2024 du 19 juin 2024</w:t>
      </w:r>
    </w:p>
    <w:p>
      <w:r>
        <w:t>IT: TF 8C_354/2024 del 19 giugno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Entscheid vom 13. März 2024 den Einspracheentscheid des Beschwerdegegners vom 16. November 2023, wonach der Erlass der Rückforderung der zu Unrecht zu viel bezogenen Kurzarbeitslosenentschädigung in der Höhe von Fr. 134'008.55 nicht in Frage komme. Dabei verneinte sie den guten Glauben der Beschwerdeführerin beim Leistungsbezug und stellte fest, dass damit die zweite Erlassvoraussetzung, das Vorliegen der grossen Härte (vgl. Art. 25 Abs. 1 Satz 2 ATSG ; SR 830.1), nicht näher zu prüfen sei.</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w:t>
      </w:r>
    </w:p>
    <w:p>
      <w:r>
        <w:t>könnten. Allein um Nachsicht zu ersuchen, reicht nicht aus. Soweit die Beschwerdeführerin ihre angespannte finanzielle Situation erwähnt, wird dadurch der Begründungsmangel bezüglich des streitentscheidenden Punktes (fehlender guter Glaube) nicht behoben.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