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8C_354/2023 vom 24. Oktober 2023</w:t>
      </w:r>
    </w:p>
    <w:p>
      <w:r>
        <w:t>Bundesgericht, 2023-10-24, DE</w:t>
      </w:r>
    </w:p>
    <w:p>
      <w:r>
        <w:rPr>
          <w:b/>
        </w:rPr>
        <w:t xml:space="preserve">Quelle: </w:t>
      </w:r>
      <w:r>
        <w:t>https://mcp.opencaselaw.ch/entscheid/bger_8C_354_2023</w:t>
      </w:r>
    </w:p>
    <w:p>
      <w:r>
        <w:t>FR: TF 8C_354/2023 du 24 octobre 2023</w:t>
      </w:r>
    </w:p>
    <w:p>
      <w:r>
        <w:t>IT: TF 8C_354/2023 del 24 ottobre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2.1</w:t>
      </w:r>
    </w:p>
    <w:p>
      <w:r>
        <w:t>Vor Bundesgericht streitig ist einzig der Zeitpunkt des Rentenbeginns. Zu prüfen ist, ob die Vorinstanz Bundesrecht verletzte, indem sie den Anspruch auf eine ganze Invalidenrente mit Wirkung ab 1. Dezember 2018 zusprach.</w:t>
      </w:r>
    </w:p>
    <w:p>
      <w:r>
        <w:rPr>
          <w:b/>
        </w:rPr>
        <w:t>E. 2.2</w:t>
      </w:r>
    </w:p>
    <w:p>
      <w:r>
        <w:t>Laut angefochtenem Urteil steht fest und ist unbestritten, dass die Beschwerdeführerin seit Dezember 2017 anhaltend vollständig arbeitsunfähig blieb.</w:t>
      </w:r>
    </w:p>
    <w:p>
      <w:r>
        <w:rPr>
          <w:b/>
        </w:rPr>
        <w:t>E. 3</w:t>
      </w:r>
    </w:p>
    <w:p>
      <w:r>
        <w:t>Das kantonale Gericht hat die massgebenden Rechtsgrundlagen richtig dargelegt. Darauf wird verwiesen ( Art. 109 Abs. 3 BGG ).</w:t>
      </w:r>
    </w:p>
    <w:p>
      <w:r>
        <w:rPr>
          <w:b/>
        </w:rPr>
        <w:t>E. 4.1</w:t>
      </w:r>
    </w:p>
    <w:p>
      <w:r>
        <w:t>Indem die Beschwerdeführerin geltend macht, ab September 2016 sei durchgehend von einer 100%-igen Arbeitsunfähigkeit auszugehen, rügt sie, die Vorinstanz habe den Beginn des Wartejahres nach Art. 28 Abs. 1 lit. b IVG offensichtlich unrichtig per Dezember 2017 festgestellt. Ihre Tätigkeit als Serviceangestellte im Jahr 2017 habe nicht länger als drei Monate gedauert.</w:t>
      </w:r>
    </w:p>
    <w:p>
      <w:r>
        <w:rPr>
          <w:b/>
        </w:rPr>
        <w:t>E. 4.2</w:t>
      </w:r>
    </w:p>
    <w:p>
      <w:r>
        <w:t>Das kantonale Gericht hat nach einlässlicher Beweiswürdigung mit überzeugender Begründung, worauf verwiesen wird ( Art. 109 Abs. 3 BGG ), zutreffend dargelegt, insbesondere gestützt auf das Gerichtsgutachten sei die Arbeitsfähigkeit ab Dezember 2017 - und insoweit unbestritten - anhaltend vollständig aufgehobenen geblieben. Hinsichtlich der Feststellung des im hypothetischen Gesundheitsfall tatsächlich ausgeübten ausserhäuslichen Erwerbspensums von 100% würdigte die Vorinstanz nicht nur die medizinische und erwerbliche Aktenlage, sondern auch die Aussagen der vor kantonalem Gericht befragten Zeugen. Vor diesem Hintergrund ist mit Blick auf die ausführlichen Erwägungen des kantonalen Gerichts nicht als willkürlich zu beanstanden, soweit es mit angefochtenem Urteil davon ausging, vor Dezember 2017 sei es zu einem wesentlichen Unterbruch der grundsätzlich ab 2016 einsetzenden Phasen von Arbeitsunfähigkeit gekommen (vgl. Art. 29ter IVV ). Dementsprechend schloss die Vorinstanz unter Berücksichtigung des Wartejahres gemäss Art. 28 Abs. 1 lit. b IVG - mit Beginn der laut Gerichtsgutachten seit Dezember 2017 andauernden vollen Arbeitsunfähigkeit - willkürfrei auf die Entstehung des Rentenanspruchs ( Art. 29 IVG ) ab 1. Dezember 2018.</w:t>
      </w:r>
    </w:p>
    <w:p>
      <w:r>
        <w:rPr>
          <w:b/>
        </w:rPr>
        <w:t>E. 4.3</w:t>
      </w:r>
    </w:p>
    <w:p>
      <w:r>
        <w:t>Soweit die Beschwerdeführerin hiergegen lediglich appellatorisch einwendet, ihre Tätigkeit als Serviceangestellte ab September 2017 habe nicht länger als drei Monate gedauert, legt sie nicht in einer dem strengen Rügeprinzip genügenden Weise dar (vgl. E. 1.2 hiervor), inwiefern die vorinstanzliche Beweiswürdigung und Sachverhaltsfeststellung das Willkürverbot verletzen würden. Folglich hat es beim angefochtenen Urteil sein Bewenden.</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