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8C_34/2025 vom 14. November 2025</w:t>
      </w:r>
    </w:p>
    <w:p>
      <w:r>
        <w:t>Bundesgericht, 2025-11-14, DE</w:t>
      </w:r>
    </w:p>
    <w:p>
      <w:r>
        <w:rPr>
          <w:b/>
        </w:rPr>
        <w:t xml:space="preserve">Quelle: </w:t>
      </w:r>
      <w:r>
        <w:t>https://mcp.opencaselaw.ch/entscheid/bger_8C_34_2025</w:t>
      </w:r>
    </w:p>
    <w:p>
      <w:r>
        <w:t>FR: TF 8C_34/2025 du 14 novembre 2025</w:t>
      </w:r>
    </w:p>
    <w:p>
      <w:r>
        <w:t>IT: TF 8C_34/2025 del 14 novembre 2025</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vorinstanzlich bestätigte Leistungseinstellung per 6. September 2015 für das Ereignis vom 6. Juni 2015 und per 30. Oktober 2020 für jenes vom 30. Juli 2020 vor Bundesrecht standhält.</w:t>
      </w:r>
    </w:p>
    <w:p>
      <w:r>
        <w:rPr>
          <w:b/>
        </w:rPr>
        <w:t>E. 2.2</w:t>
      </w:r>
    </w:p>
    <w:p>
      <w:r>
        <w:t>Das kantonale Gericht hat die massgebenden Rechtsgrundlagen richtig dargelegt. Darauf wird verwiesen ( Art. 109 Abs. 3 Satz 2 BGG ).</w:t>
      </w:r>
    </w:p>
    <w:p>
      <w:r>
        <w:rPr>
          <w:b/>
        </w:rPr>
        <w:t>E. 3.1</w:t>
      </w:r>
    </w:p>
    <w:p>
      <w:r>
        <w:t>Mit in allen Teilen überzeugender Begründung, worauf wiederum verwiesen wird ( Art. 109 Abs. 3 BGG ), bestätigte die Vorinstanz gestützt auf das Gutachten vom 2. Oktober 2023 die Leistungseinstellung durch die Beschwerdegegnerin per 6. September 2015 beziehungsweise per 30. Oktober 2020. Sie schloss darauf, dass der vom Beschwerdeführer gegen das Gutachten vorgebrachte Bericht von Dr. med. D.________, Facharzt für Orthopädie und Traumatologie des Bewegungsapparates, vom 2. beziehungsweise 6. November 2023 keine konkreten Indizien gegen die Zuverlässigkeit des Gutachtens vom 2. Oktober 2023 zu begründen vermöge.</w:t>
      </w:r>
    </w:p>
    <w:p>
      <w:r>
        <w:rPr>
          <w:b/>
        </w:rPr>
        <w:t>E. 3.2</w:t>
      </w:r>
    </w:p>
    <w:p>
      <w:r>
        <w:t>Was der Beschwerdeführer dagegen vorbringt, ist offensichtlich unbegründet. Aus seinen Ausführungen ergibt sich nichts Stichhaltiges, was Zweifel an der vorinstanzlichen Beweiswürdigung erwecken könnte. Allein das bereits vor Vorinstanz Vorgetragene zu wiederholen, reicht nicht aus. Insoweit kann ohne Weiterungen auf die Erwägungen des kantonalen Gerichts verwiesen werden. Dieses hat im Rahmen einer eingehenden Auseinandersetzung mit den medizinischen Akten und den Einwendungen des Beschwerdeführers dem Gutachten vom 2. Oktober 2023 bundesrechtskonform volle Beweiskraft zuerkannt. Vor diesem Hintergrund ist auch nicht zu beanstanden, dass die Vorinstanz - in antizipierender Beweiswürdigung ( BGE 144 V 361 E. 6.5 ; 136 I 229 E. 5.3) - von zusätzlichen Abklärungen abgesehen hat.</w:t>
      </w:r>
    </w:p>
    <w:p>
      <w:r>
        <w:rPr>
          <w:b/>
        </w:rPr>
        <w:t>E. 4</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5</w:t>
      </w:r>
    </w:p>
    <w:p>
      <w:r>
        <w:t>Der unterliegende Beschwerdeführer trägt die Gerichtskosten ( Art. 66 Abs. 1 BGG ). Die SWICA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