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8C_349/2020 vom 3. August 2020</w:t>
      </w:r>
    </w:p>
    <w:p>
      <w:r>
        <w:t>Bundesgericht, 2020-08-03, DE</w:t>
      </w:r>
    </w:p>
    <w:p>
      <w:r>
        <w:rPr>
          <w:b/>
        </w:rPr>
        <w:t xml:space="preserve">Quelle: </w:t>
      </w:r>
      <w:r>
        <w:t>https://mcp.opencaselaw.ch/entscheid/bger_8C_349_2020</w:t>
      </w:r>
    </w:p>
    <w:p>
      <w:r>
        <w:t>FR: TF 8C_349/2020 du 3 août 2020</w:t>
      </w:r>
    </w:p>
    <w:p>
      <w:r>
        <w:t>IT: TF 8C_349/2020 del 3 agosto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S. 53 mit Hinweisen; Urteil 8C_24/2020 vom 19. Februar 2020 E. 1.2 mit Hinweis).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 Urteil 8C_24/2020 vom 19. Februar 2020 E. 1.2 mit Hinweis).</w:t>
      </w:r>
    </w:p>
    <w:p>
      <w:r>
        <w:rPr>
          <w:b/>
        </w:rPr>
        <w:t>E. 1.3</w:t>
      </w:r>
    </w:p>
    <w:p>
      <w:r>
        <w:t>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w:t>
      </w:r>
    </w:p>
    <w:p>
      <w:r>
        <w:t>Streitig ist, ob die Vorinstanz Bundesrecht verletzte, indem sie die am 15. Februar 2018 verfügte und mit Einspracheentscheid vom 17. Mai 2018 bestätigte Verneinung der Anspruchsberechtigung auf Arbeitslosenentschädigung ab 1. Januar 2018 mit angefochtenem Entscheid schützte.</w:t>
      </w:r>
    </w:p>
    <w:p>
      <w:r>
        <w:rPr>
          <w:b/>
        </w:rPr>
        <w:t>E. 3</w:t>
      </w:r>
    </w:p>
    <w:p>
      <w:r>
        <w:t>Das kantonale Gericht legte die diesbezüglich massgebenden Gesetzesbestimmungen und die von der Rechtsprechung entwickelten Grundsätze zutreffend dar. Darauf wird verwiesen ( Art. 109 Abs. 3 BGG ).</w:t>
      </w:r>
    </w:p>
    <w:p>
      <w:r>
        <w:rPr>
          <w:b/>
        </w:rPr>
        <w:t>E. 4.1</w:t>
      </w:r>
    </w:p>
    <w:p>
      <w:r>
        <w:t>Für die Beurteilung der Streitsache in zeitlicher Hinsicht massgebend ist der Sachverhalt, wie er sich bis zum Erlass des Einspracheentscheides (hier: vom 17. Mai 2018) verwirklicht hat ( BGE 130 V 445 E. 1.2 S. 446; Urteil 8C_250/2019 vom 4. September 2019 E. 3.1 mit Hinweisen). Entgegen dem Beschwerdeführer ist dem angefochtenen Entscheid hinreichend zuverlässig zu entnehmen, aus welchen tatsächlichen und rechtlichen Gründen die Vorinstanz die gegen den Einspracheentscheid vom 17. Mai 2018 gerichtete Beschwerde vom 30. Mai 2018 abgewiesen hat. Zum einen hat das kantonale Gericht nach bundesrechtskonformer Beweiswürdigung mit überzeugender Begründung, worauf verwiesen wird ( Art. 109 Abs. 3 BGG ), zutreffend erkannt, dass die vom Versicherten erstmals anlässlich der vorinstanzlichen Parteiverhandlung vom 1. November 2018 geäusserte Rüge der Verletzung der Beratungs- und Aufklärungspflicht von Art. 27 Abs. 2 ATSG (vgl. Urteil 8C_127/2019 vom 5. August 2019 E. 4.4) verspätet erhoben wurde und damit aus prozessualen Gründen unzulässig war. Zum anderen habe die Beschwerdegegnerin beim praxisgemäss geforderten durchschnittlichen Mass an Aufmerksamkeit (vgl. BGE 133 V 249 E. 7.2 S. 255 f.) unter den gegebenen Umständen angesichts der erst nach Verfügungserlass veranlassten retrospektiven Abklärungen in Bezug auf eine allfällige arbeitgeberähnliche Stellung ab 1. Januar 2018 nicht erkennen können, dass die Situation der versicherten Person den Leistungsanspruch zu gefährden vermöchte. Unter Mitberücksichtigung der vom Beschwerdeführer bereits am 7. Mai 2018 erhobenen Rechtsverzögerungsbeschwerde schloss die Vorinstanz zu Recht eine Verletzung sowohl des Untersuchungsgrundsatzes ( Art. 61 lit. c ATSG ) als auch der Beratungs- und Aufklärungspflicht von Art. 27 Abs. 2 ATSG durch die ÖAK bis zum in zeitlicher Hinsicht massgebenden Erlass des Einspracheentscheides aus.</w:t>
      </w:r>
    </w:p>
    <w:p>
      <w:r>
        <w:rPr>
          <w:b/>
        </w:rPr>
        <w:t>E. 4.2</w:t>
      </w:r>
    </w:p>
    <w:p>
      <w:r>
        <w:t>Was der Versicherte gegen die vorinstanzliche Verneinung einer Gehörsverletzung im Zusammenhang mit der substituierten Begründung des Einspracheentscheides vorbringt, beschränkt sich im Wesentlichen auf eine Wiederholung des Vorwurfes der angeblichen Verletzung der Beratungs- und Aufklärungspflicht von Art. 27 Abs. 2 ATSG . Entgegen dem Beschwerdeführer ist der ÖAK bis zum Erlass des Einspracheentscheides kein "säumiges Verhalten" vorzuwerfen. Er vermag auch nicht ansatzweise darzulegen, inwiefern die Vorinstanz die kantonalen Verfahrensbestimmungen bundesrechtswidrig angewendet habe. Seine Vorbringen genügen der qualifizierten Rügepflicht (vgl. hievor E. 1.3 i.f.) nicht.</w:t>
      </w:r>
    </w:p>
    <w:p>
      <w:r>
        <w:rPr>
          <w:b/>
        </w:rPr>
        <w:t>E. 4.3</w:t>
      </w:r>
    </w:p>
    <w:p>
      <w:r>
        <w:t>Abgesehen von der wiederholt geltend gemachten Rüge der Verletzung des rechtlichen Gehörs setzt sich der Beschwerdeführer kaum mit der vorinstanzlichen Begründung auseinander, weshalb das kantonale Gericht die mit Einspracheentscheid vom 17. Mai 2018 bejahte arbeitgeberähnliche Stellung bestätigte. Nach eingehender und bundesrechtskonformer Würdigung der Beweislage hat die Vorinstanz mit ausführlicher Begründung, worauf verwiesen wird ( Art. 109 Abs. 3 BGG ), zutreffend erkannt, dass der Versicherte gegenüber der C.________ GmbH - trotz fehlender formeller Organeigenschaft - auch nach dem 1. Januar 2018 eine arbeitgeberähnliche Stellung im Sinne von Art. 31 Abs. 3 lit. c AVIG eingenommen und folglich keinen Anspruch auf Arbeitslosenentschädigung habe (vgl. BGE 145 V 200 E. 4.1 S. 203 mit Hinweisen). Der Beschwerdeführer legt nicht dar, inwiefern die vorinstanzliche Sachverhaltsfeststellung das Willkürverbot verletze (vgl. E. 1.2 hievor). Vielmehr handelt es sich bei seinen Vorbringen im Wesentlichen um unzulässige appellatorische Kritik, mit welcher er seine eigene Sicht der Dinge darstellt, ohne sich unter Willkürgesichtspunkten mit den Erwägungen des kantonalen Entscheids auseinanderzusetzen (vgl. BGE 144 I 113 E. 7.2 S. 125). Darauf ist nicht näher einzugehen. Das beanstandete Verhalten der Beschwerdegegnerin im Jahre 2020 bildet ebenso wenig Gegenstand dieses Verfahrens wie der Antritt einer neuen Arbeitsstelle am 1. Juni 2018 (vgl. E. 4.1 hievor).</w:t>
      </w:r>
    </w:p>
    <w:p>
      <w:r>
        <w:rPr>
          <w:b/>
        </w:rPr>
        <w:t>E. 5</w:t>
      </w:r>
    </w:p>
    <w:p>
      <w:r>
        <w:t>Die Beschwerde ist offensichtlich unbegründet. Folglich wird sie im vereinfachten Verfahren nach Art. 109 Abs. 2 lit. a BGG ohne Durchführung eines Schriftenwechsels, mit summarischer Begründung und unter Hinweis auf den kantonalen Gerichtsentscheid ( Art. 109 Abs. 3 BGG ) erledigt.</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