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8C_347/2025 vom 7. April 2026</w:t>
      </w:r>
    </w:p>
    <w:p>
      <w:r>
        <w:t>Bundesgericht, 2026-04-07, FR</w:t>
      </w:r>
    </w:p>
    <w:p>
      <w:r>
        <w:rPr>
          <w:b/>
        </w:rPr>
        <w:t xml:space="preserve">Quelle: </w:t>
      </w:r>
      <w:r>
        <w:t>https://mcp.opencaselaw.ch/entscheid/bger_8C_347_2025</w:t>
      </w:r>
    </w:p>
    <w:p>
      <w:r>
        <w:t>FR: TF 8C_347/2025 du 7 avril 2026</w:t>
      </w:r>
    </w:p>
    <w:p>
      <w:r>
        <w:t>IT: TF 8C_347/2025 del 7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décision du 27 janvier 2025, par laquelle l'intimé a refusé d'entrer en matière sur la nouvelle demande de prestations du recourant.</w:t>
      </w:r>
    </w:p>
    <w:p>
      <w:r>
        <w:rPr>
          <w:b/>
        </w:rPr>
        <w:t>E. 2.2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3.1</w:t>
      </w:r>
    </w:p>
    <w:p>
      <w:r>
        <w:t>Dans un grief d'ordre formel, qu'il convient de traiter en priorité, le recourant se plaint d'une violation de son droit d'être entendu. Invoquant les art. 29 al. 2 Cst. et 6 par. 1 CEDH, il indique avoir formulé une demande explicite tendant à la tenue d'une audience publique et reproche à la cour cantonale de ne pas y avoir donné suite, sans rejet explicite de la requête ni motivation de son refus.</w:t>
      </w:r>
    </w:p>
    <w:p>
      <w:r>
        <w:rPr>
          <w:b/>
        </w:rPr>
        <w:t>E. 3.2</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 art. 6 par. 1 CEDH , lorsque la procédure applicable le prévoit ou lorsque sa nécessité découle des exigences du droit à la preuve ( ATF 128 I 288 consid. 2). L' art. 6 par. 1 CEDH garantit notamment à chacun le droit à ce que sa cause soit entendue publiquement.</w:t>
      </w:r>
    </w:p>
    <w:p>
      <w:r>
        <w:t>La tenue de débats publics doit, sauf circonstances exceptionnelles non réunies en l'espèce, avoir lieu devant les instances judiciaires précédentes ( ATF 136 I 279 consid. 1). Elle suppose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 ATF 122 V 47 consid. 3a). Saisi d'une telle demande, le juge doit en principe y donner suite. Il peut cependant s'en abstenir dans les cas prévus par l' art. 6 par. 1, seconde phrase, CEDH , lorsque la demande est abusive (chicanière ou dilatoire), lorsqu'il apparaît clairement que le recours est infondé, irrecevable ou, au contraire, manifestement bien fondé ou encore lorsque l'objet du litige porte sur des questions hautement techniques ( ATF 136 I 279 consid. 1; 134 I 331 consid. 2.3; arrêts 8C_569/2024 du 27 mars 2025 consid. 8.1; 9C_59/2020 du 13 mai 2020 consid. 3.1). Le Tribunal fédéral a précisé qu'il ne pouvait pas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(cf. ATF 136 I 279 consid. 3).</w:t>
      </w:r>
    </w:p>
    <w:p>
      <w:r>
        <w:rPr>
          <w:b/>
        </w:rPr>
        <w:t>E. 3.3</w:t>
      </w:r>
    </w:p>
    <w:p>
      <w:r>
        <w:t>En l'espèce, le recourant a, dans son recours cantonal, formellement demandé la mise en oeuvre de débats publics, en se fondant sur l' art. 6 par. 1 CEDH . Les premiers juges ont décidé de ne pas donner suite à cette requête, au motif que le recours était manifestement mal fondé, sans autre précision. À l'aune de la jurisprudence (cf. consid. 3.2 supra), selon laquelle le juge n'est habilité à refuser la tenue de débats publics qu'à titre exceptionnel, cette motivation est insuffisante. Au demeurant, il n'apparaît pas d'emblée que la requête du recourant était purement chicanière ou dilatoire, ni que son recours était clairement mal fondé au point qu'il pouvait être renoncé à une audience publique, pourtant expressément requise.</w:t>
      </w:r>
    </w:p>
    <w:p>
      <w:r>
        <w:t>À défaut d'un motif s'opposant à la tenue d'une audience publique devant la juridiction cantonale et compte tenu de la demande non équivoque formulée devant celle-ci par le recourant, il convient d'admettre que la procédure cantonale est entachée d'un vice de procédure ne pouvant pas être guéri devant le Tribunal fédéral, ce qui entraîne l'annulation de l'arrêt entrepris (cf. ATF 134 I 331 consid. 3.1). Dans ces circonstances, le recours doit être partiellement admis, l'acte attaqué annulé et la cause renvoyée à la cour cantonale pour qu'elle donne suite à la requête de débats publics du recourant et statue à nouveau.</w:t>
      </w:r>
    </w:p>
    <w:p>
      <w:r>
        <w:rPr>
          <w:b/>
        </w:rPr>
        <w:t>E. 4</w:t>
      </w:r>
    </w:p>
    <w:p>
      <w:r>
        <w:t>L'intimé, qui succombe, supportera les frais judiciaires ( art. 66 al. 1 LTF ). Le recourant, qui obtient gain de cause, a droit à des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