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345/2016 vom 1. September 2016</w:t>
      </w:r>
    </w:p>
    <w:p>
      <w:r>
        <w:t>Bundesgericht, 2016-09-01, DE</w:t>
      </w:r>
    </w:p>
    <w:p>
      <w:r>
        <w:rPr>
          <w:b/>
        </w:rPr>
        <w:t xml:space="preserve">Quelle: </w:t>
      </w:r>
      <w:r>
        <w:t>https://mcp.opencaselaw.ch/entscheid/bger_8C_345_2016</w:t>
      </w:r>
    </w:p>
    <w:p>
      <w:r>
        <w:t>FR: TF 8C 345/2016 du 1 septembre 2016</w:t>
      </w:r>
    </w:p>
    <w:p>
      <w:r>
        <w:t>IT: TF 8C 345/2016 del 1 settembre 2016</w:t>
      </w:r>
    </w:p>
    <w:p>
      <w:pPr>
        <w:pStyle w:val="Heading2"/>
      </w:pPr>
      <w:r>
        <w:t>Regeste</w:t>
      </w:r>
    </w:p>
    <w:p>
      <w:r>
        <w:t>Invalidenversicherung (Arbeitsunfähigkeit; Neuanmeldung;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rechtlichen Grundlagen der Erwerbsunfähigkeit ( Art. 7 Abs. 1 ATSG ), der Invalidität ( Art. 8 Abs. 1 ATSG ), der Invaliditätsbemessung nach der Methode des Einkommensvergleichs ( Art. 16 ATSG ) und des Rentenanspruchs ( Art. 28 Abs. 2 IVG ) richtig dargelegt. Gleiches gilt betreffend die bei der Neuanmeldung analog anwendbaren Revisionsregeln ( Art. 17 Abs. 1 ATSG ; BGE 134 V 131 E. 3 S. 132, 117 V 198 E. 3a) und den Beweiswert von Arztberichten ( BGE 134 V 231 E. 5.1 S. 232, 125 V 351 E. 3a S. 352). Darauf wird verwiesen.</w:t>
      </w:r>
    </w:p>
    <w:p>
      <w:r>
        <w:rPr>
          <w:b/>
        </w:rPr>
        <w:t>E. 3.1</w:t>
      </w:r>
    </w:p>
    <w:p>
      <w:r>
        <w:t>Streitig ist, ob Vorinstanz und Verwaltung das Neuanmeldungsgesuch des Versicherten zu Recht abgewiesen haben. Zu prüfen ist dabei, ob es in der Zeit zwischen der rentenaufhebenden Verfügung vom 6. Oktober 1995 und der angefochtenen Verfügung vom 25. September 2015 zu einer rentenbegründenden Änderung des Sachverhalts gekommen ist.</w:t>
      </w:r>
    </w:p>
    <w:p>
      <w:r>
        <w:rPr>
          <w:b/>
        </w:rPr>
        <w:t>E. 3.2</w:t>
      </w:r>
    </w:p>
    <w:p>
      <w:r>
        <w:t>Die Vorinstanz erwog in Würdigung der medizinischen Aktenlage, das PMEDA-Gutachten vom 5. Februar 2014 samt ergänzenden Stellungnahmen vom 31. März 2015 und 15. Juni 2015 erfülle die praxisgemäss gestellten Anforderungen an eine medizinische Beurteilungsgrundlage, weshalb darauf abzustellen sei. Gestützt hierauf sei der Versicherte in der angestammten Tätigkeit zu 50 % arbeitsunfähig. In einer angepassten Tätigkeit mit körperlich leichter, wechselbelastender oder überwiegend sitzender Arbeit ohne hohen repetitiven Einsatz des dominanten rechten Armes sei von einer uneingeschränkten Arbeitsfähigkeit auszugehen.</w:t>
      </w:r>
    </w:p>
    <w:p>
      <w:r>
        <w:rPr>
          <w:b/>
        </w:rPr>
        <w:t>E. 4.1</w:t>
      </w:r>
    </w:p>
    <w:p>
      <w:r>
        <w:t>Der Versicherte wendet im Wesentlichen ein, im PMEDA-Gutachten sei nicht berücksichtigt worden, dass er beim Gebrauch beider Hände massiv eingeschränkt sei. Indem die Vorinstanz auf diese Expertise abgestellt habe, habe sie den Untersuchungsgrundsatz verletzt.</w:t>
      </w:r>
    </w:p>
    <w:p>
      <w:r>
        <w:rPr>
          <w:b/>
        </w:rPr>
        <w:t>E. 4.2</w:t>
      </w:r>
    </w:p>
    <w:p>
      <w:r>
        <w:t>Wenn das kantonale Gericht auf das PMEDA-Gutachten vom      5. Februar 2014 samt ergänzenden Stellungnahmen vom 31. März 2015 und 15. Juni 2015 abstellte, liegt darin weder eine offensichtlich unrichtige noch eine auf einer Rechtsverletzung beruhende Tatsachenfeststellung. Insbesondere ist kein Verstoss gegen den Untersuchungsgrundsatz oder andere bundesrechtliche Beweisgrundsätze ersichtlich. Denn der neurologische PMEDA-Gutachter Dr. med. D.________ berücksichtigte im Gutachten vom 5. Februar 2014 die vom Versicherten geklagten Beschwerden an beiden Händen. Gleiches tat die neurochirurgische PMEDA-Gutachterin Frau Dr. med. E.________ bezüglich seiner Störungen an der linken Hand. In der Stellungnahme vom 31. März 2015 bestätigten die PMEDA-Gutachter im Lichte der ihnen nachgereichten medizinischen Unterlagen - unter anderem des die linke Hand betreffenden Gutachtens des Spitals F.________ vom         11. September 1990 - ihre Einschätzung, dass der Versicherte in leidensangepassten Tätigkeiten zu 100 % arbeitsfähig sei. Hieran hielten sie am 15. Juni 2015 fest.</w:t>
      </w:r>
    </w:p>
    <w:p>
      <w:r>
        <w:rPr>
          <w:b/>
        </w:rPr>
        <w:t>E. 4.3</w:t>
      </w:r>
    </w:p>
    <w:p>
      <w:r>
        <w:t>Der Versicherte beruft sich auf den Bericht der Dr. med. G.________, Fachärztin FMH für Angiologie und Allgemeine Innere Medizin, vom 23. Mai 2014, worin seine Beschwerden an der rechten Hand festgehalten wurden. Auf diesen Bericht kann indessen nicht abgestellt werden, da er keine Angaben zum Grad der Arbeits (un) fähigkeit in einer leidensangepassten Tätigkeit enthält ( BGE 136 V 279 E. 3.2.1 S. 281; SVR 2014 IV Nr. 37 S. 130 E. 4.1.2 [8C_7/2014]; Urteil 8C_590/2015 vom 24. November 2015 E. 4.2.3). Dem Hinweis des Beschwerdeführers auf den massiv eingeschränkten Gebrauch beider Hände steht die Feststellung des Dr. med. D.________ im Gutachten vom 5. Februar 2014 über deren seitengleiche kräftige Beschwielung, die für eine anhaltende rege körperliche Aktivität spreche, entgegen (vgl. auch Urteile 8C_814/2013 vom 30. April 2014 E. 3.2 und I 408/89 vom 30. August 1990 E. 3d/bb).</w:t>
      </w:r>
    </w:p>
    <w:p>
      <w:r>
        <w:rPr>
          <w:b/>
        </w:rPr>
        <w:t>E. 4.4</w:t>
      </w:r>
    </w:p>
    <w:p>
      <w:r>
        <w:t>Insgesamt ist es nicht zu beanstanden, wenn die Vorinstanz auf das PMEDA-Gutachten vom 5. Februar 2014 samt Ergänzungen vom 31. März 2015 und 15. Juni 2015 abstellte. Denn eine Sachverhaltsfeststellung ist nicht schon dann offensichtlich unrichtig (vgl. E. 1 hievor),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nicht publ. E. 1.2 f. des Urteils BGE 140 V 405 , in SVR 2015 BVG Nr. 12 S. 47; SVR 2014 IV Nr. 37 S. 130 E. 1.2 [8C_7/2014]; Urteil 8C_810/2015 vom 5. Januar 2016 E. 4.3.2). Da von weiteren medizinischen Abklärungen keine entscheidrelevanten Ergebnisse zu erwarten sind, verzichtete die Vorinstanz darauf zu Recht (antizipierte Beweiswürdigung; BGE 136 I 229 E. 5.3 S. 236).</w:t>
      </w:r>
    </w:p>
    <w:p>
      <w:r>
        <w:rPr>
          <w:b/>
        </w:rPr>
        <w:t>E. 5</w:t>
      </w:r>
    </w:p>
    <w:p>
      <w:r>
        <w:t>Der Versicherte bringt vor, es sei unrealistisch, in einem ausgeglichenen Arbeitsmarkt einen Arbeitgeber zu finden, der ihn im Rahmen des Zumutbarkeitsprofils zu 100 % anstellen und entlöhnen würde. Der relevante ausgeglichene Arbeitsmarkt ( Art. 16 ATSG ; BGE 138 V 457 E. 3.1 S. 459 f.) beinhaltet durchaus Stellen, die für den Beschwerdeführer aufgrund des Zumutbarkeitsprofils (E. 3.2 hievor) in Frage kommen. Als Beispiele für ihm zumutbare Tätigkeiten auf dem ausgeglichenen Arbeitsmarkt können einfache Überwachungs-, Prüf- und Kontrolltätigkeiten, die Bedienung und Überwachung von (halb-) automatischen Maschinen oder Produktionseinheiten sowie die Arbeit als Museumswärter oder Parkplatzwächter genannt werden. Soweit der Versicherte mit seinem Hinweis auf den Grundsatz "Eingliederung vor Rente" seine Selbsteingliederungsfähigkeit in Frage zu stellen scheint, ist dies nicht stichhaltig. Denn es ist ihm möglich, das ihm verbliebene Leistungsvermögen auf dem ausgeglichenen Arbeitsmarkt, der auch sogenannte Nischenarbeitsplätze umfasst, bei welchen Behinderte mit einem sozialen Entgegenkommen von Seiten des Arbeitgebers rechnen können, zu verwerten (Urteile 8C_37/2016 vom 8. Juli 2016 E. 5.1.2, 8C_906/2015 vom 12. Mai 2016 E. 4.3 und 8C_695/2015 vom 19. November 2015 E. 4.2).</w:t>
      </w:r>
    </w:p>
    <w:p>
      <w:r>
        <w:rPr>
          <w:b/>
        </w:rPr>
        <w:t>E. 6</w:t>
      </w:r>
    </w:p>
    <w:p>
      <w:r>
        <w:t>Der Einkommensvergleich der Vorinstanz ergab einen rentenausschliessenden Invaliditätsgrad von 31 %. Zur Bestimmung des Invalideneinkommens nahm sie einen 15%igen Abzug vom gestützt auf die Schweizerische Lohnstrukturerhebung (LSE) ermittelten Tabellenlohn vor (siehe BGE 135 V 297 E. 5.2 S. 301). Auch hier ist weder eine offensichtlich unrichtige Tatsachenfeststellung noch eine Bundesrechtsverletzung noch eine rechtsfehlerhafte Ermessensausübung ersichtlich (zur Kognition bei Ermessensfragen vgl. BGE 132 V 393 E. 3.3 S. 399). Soweit der Versicherte zusätzlich einen "Teilzeitabzug" verlangt, ist dies schon deshalb nicht stichhaltig, da er leidensangepasst zu 100 % arbeitsfähig ist (E. 3.2 hievor).</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