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8C_344/2023 vom 6. Juni 2023</w:t>
      </w:r>
    </w:p>
    <w:p>
      <w:r>
        <w:t>Bundesgericht, 2023-06-06, DE</w:t>
      </w:r>
    </w:p>
    <w:p>
      <w:r>
        <w:rPr>
          <w:b/>
        </w:rPr>
        <w:t xml:space="preserve">Quelle: </w:t>
      </w:r>
      <w:r>
        <w:t>https://mcp.opencaselaw.ch/entscheid/bger_8C_344_2023</w:t>
      </w:r>
    </w:p>
    <w:p>
      <w:r>
        <w:t>FR: TF 8C_344/2023 du 6 juin 2023</w:t>
      </w:r>
    </w:p>
    <w:p>
      <w:r>
        <w:t>IT: TF 8C_344/2023 del 6 giugno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gelangte im angefochtenen Urteil vom 19. April 2023 in Auseinandersetzung mit den Parteivorbringen und in Würdigung der Akten zur Überzeugung, es sei dem Beschwerdeführer mit den bei der Verwaltung eingereichten Berichten nicht gelungen, eine anspruchswirksame Veränderung der gesundheitlichen Verhältnisse im massgeblichen Vergleichszeitraum vom 28. März 2017 (Verfügungszeitpunkt der letzten Leistungsablehnung) bis 6. Oktober 2022 (Verfügungsdatum des Nichteintretens auf die Neuanmeldung vom 17. Juni 2022) zumindest glaubhaft zu machen. Was das Ersuchen des Beschwerdeführers um eine unabhängige Beurteilung durch einen Gutachter bzw. weitere medizinische Abklärungen anbelangt, führte das Gericht aus, dafür bleibe im Rahmen der Prüfung der Eintretensvoraussetzungen kein Raum.</w:t>
      </w:r>
    </w:p>
    <w:p>
      <w:r>
        <w:rPr>
          <w:b/>
        </w:rPr>
        <w:t>E. 3</w:t>
      </w:r>
    </w:p>
    <w:p>
      <w:r>
        <w:t>Der Beschwerdeführer kritisiert die von der Vorinstanz vorgenommene Beweiswürdigung, ohne indessen aufzuzeigen, inwieweit das kantonale Gericht dabei in Willkür (vgl. BGE 146 IV 88 E. 1.3.1 f.; 140 III 115 E. 2; je mit Hinweisen) verfallen sein oder sonstwie gegen Bundesrecht verstossen oder einen anderen Beschwerdegrund (vgl. Art. 95 lit. a-e BGG ) gesetzt haben soll. Allein den Gesundheitszustand aus seiner Sicht zu schildern und dabei die im Anmeldeverfahren eingereichten Arztberichte anzurufen, reicht nicht aus. Ebenso wenig genügt es, zu erklären, jederzeit für weitere medizinische Abklärungen zur Verfügung zu stehen.</w:t>
      </w:r>
    </w:p>
    <w:p>
      <w:r>
        <w:rPr>
          <w:b/>
        </w:rPr>
        <w:t>E. 4</w:t>
      </w:r>
    </w:p>
    <w:p>
      <w:r>
        <w:t>Da dieser Begründungsmangel offensichtlich ist, führt dies zu einem Nichteintreten auf das Rechtsmittel im vereinfachten Verfahren nach Art. 108 Abs. 1 lit. b BGG .</w:t>
      </w:r>
    </w:p>
    <w:p>
      <w:r>
        <w:rPr>
          <w:b/>
        </w:rPr>
        <w:t>E. 5</w:t>
      </w:r>
    </w:p>
    <w:p>
      <w:r>
        <w:t>Das beschwerdeweise gestellte Gesuch um unentgeltliche Rechtspflege ist wegen aussichtsloser Beschwerdeführung abzuweisen ( Art. 64 Abs. 1 BGG ).</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