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344/2022 vom 28. April 2022</w:t>
      </w:r>
    </w:p>
    <w:p>
      <w:r>
        <w:t>Bundesgericht, 2022-04-28, IT</w:t>
      </w:r>
    </w:p>
    <w:p>
      <w:r>
        <w:rPr>
          <w:b/>
        </w:rPr>
        <w:t xml:space="preserve">Quelle: </w:t>
      </w:r>
      <w:r>
        <w:t>https://mcp.opencaselaw.ch/entscheid/bger_8C_344_2022</w:t>
      </w:r>
    </w:p>
    <w:p>
      <w:r>
        <w:t>FR: TF 8C 344/2022 du 28 avril 2022</w:t>
      </w:r>
    </w:p>
    <w:p>
      <w:r>
        <w:t>IT: TF 8C 344/2022 del 28 aprile 2022</w:t>
      </w:r>
    </w:p>
    <w:p>
      <w:pPr>
        <w:pStyle w:val="Heading2"/>
      </w:pPr>
      <w:r>
        <w:t>Regeste</w:t>
      </w:r>
    </w:p>
    <w:p>
      <w:r>
        <w:t>Assicurazione contro gli infortuni (presupposto processuale)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8 giugno 2022 In nome della I Corte di diritto sociale del Tribunale federale svizzero Il Presidente: Wirthlin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