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8C_342/2025 vom 26. Juni 2025</w:t>
      </w:r>
    </w:p>
    <w:p>
      <w:r>
        <w:t>Bundesgericht, 2025-06-26, DE</w:t>
      </w:r>
    </w:p>
    <w:p>
      <w:r>
        <w:rPr>
          <w:b/>
        </w:rPr>
        <w:t xml:space="preserve">Quelle: </w:t>
      </w:r>
      <w:r>
        <w:t>https://mcp.opencaselaw.ch/entscheid/bger_8C_342_2025</w:t>
      </w:r>
    </w:p>
    <w:p>
      <w:r>
        <w:t>FR: TF 8C_342/2025 du 26 juin 2025</w:t>
      </w:r>
    </w:p>
    <w:p>
      <w:r>
        <w:t>IT: TF 8C_342/2025 del 26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20. Mai 2025 die vom Beschwerdegegner gestützt auf Art. 30 Abs. 1 lit. d AVIG verfügte Einstellung des Beschwerdeführers in der Anspruchsberechtigung auf Arbeitslosenentschädigung für die Dauer von 27 Tagen (vgl. Verfügung vom 20. September 2024, bestätigt mit Einspracheentscheid vom 15. Oktober 2024). Dabei gelangte es in Würdigung der Akten und in Auseinandersetzung mit den Parteivorbringen zur Überzeugung, der Beschwerdeführer habe sich auf eine zumutbare Arbeitsstelle nur unzureichend beworben und diese damit faktisch abgelehnt, was die fragliche Einstellung in der Anspruchsberechtigung grundsätzlich wie auch vom Umfang her erlaube.</w:t>
      </w:r>
    </w:p>
    <w:p>
      <w:r>
        <w:rPr>
          <w:b/>
        </w:rPr>
        <w:t>E. 3</w:t>
      </w:r>
    </w:p>
    <w:p>
      <w:r>
        <w:t>Der Beschwerdeführer beschränkt sich darauf, das bereits vor Vorinstanz Vorgetragene zu wiederholen. Er zeigt nicht auf, inwieweit die in diesem Zusammenhang getroffenen Sachverhaltsfeststellungen offensichtlich unrichtig im Sinne von Art. 97 Abs. 1 BGG , das heisst willkürlich ( BGE 146 IV 88 E. 1.3.1 f. und 140 III 115 E. 2; je mit Hinweisen), sein könnten. Genauso wenig legt er dar, inwiefern die darauf beruhenden Erwägungen gegen Bundesrecht verstossen oder einen anderen Beschwerdegrund (vgl. Art. 95 lit. a-e BGG ) gesetzt haben sollen. Insbesondere mangelt es in der Beschwerde an einer Auseinandersetzung mit der letztlich entscheidenden vorinstanzlichen Erwägung, wonach der Beschwerdeführer die ihn betreffende Schadenminderungspflicht dadurch verletzt habe, dass er die von der möglichen Arbeitgeberin erbetenen Unterlagen nicht spätestens nach Ablauf der kontrollfreien Tage nachgereicht habe. Damit sei letztlich die Annahme einer zumutbaren Stelle vereitelt worden. Eine willkürliche Beweiswürdigung bzw. rechtsfehlerhafte Ermessensausübung bei der Bestätigung der Einstellungsdauer ist ebenso wenig dargetan.</w:t>
      </w:r>
    </w:p>
    <w:p>
      <w:r>
        <w:rPr>
          <w:b/>
        </w:rPr>
        <w:t>E. 4</w:t>
      </w:r>
    </w:p>
    <w:p>
      <w:r>
        <w:t>Fehlt es offensichtlich an einer hinreichend sachbezogenen Beschwerde, so führt dies zu einem Nichteintreten auf das Rechtsmittel im vereinfachten Verfahren nach Art. 108 Abs. 1 lit. b BGG .</w:t>
      </w:r>
    </w:p>
    <w:p>
      <w:r>
        <w:rPr>
          <w:b/>
        </w:rPr>
        <w:t>E. 5</w:t>
      </w:r>
    </w:p>
    <w:p>
      <w:r>
        <w:t>In Anwendung von Art. 66 Abs. 1 Satz 2 BGG kann ausnahmsweise nochmals (bereits so: Urteil 8C_562/2024 vom 22. Oktober 2024) auf die Erhebung von Gerichtskosten verzichtet werden.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