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342/2018 vom 30. Juli 2019</w:t>
      </w:r>
    </w:p>
    <w:p>
      <w:r>
        <w:t>Bundesgericht, 2019-07-30, FR</w:t>
      </w:r>
    </w:p>
    <w:p>
      <w:r>
        <w:rPr>
          <w:b/>
        </w:rPr>
        <w:t xml:space="preserve">Quelle: </w:t>
      </w:r>
      <w:r>
        <w:t>https://mcp.opencaselaw.ch/entscheid/bger_8C_342_2018</w:t>
      </w:r>
    </w:p>
    <w:p>
      <w:r>
        <w:t>FR: TF 8C 342/2018 du 30 juillet 2019</w:t>
      </w:r>
    </w:p>
    <w:p>
      <w:r>
        <w:t>IT: TF 8C 342/2018 del 30 luglio 2019</w:t>
      </w:r>
    </w:p>
    <w:p>
      <w:pPr>
        <w:pStyle w:val="Heading2"/>
      </w:pPr>
      <w:r>
        <w:t>Regeste</w:t>
      </w:r>
    </w:p>
    <w:p>
      <w:r>
        <w:t>Assurance-accidents (salaire social)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d'invalidité du recourant, singulièrement sur le revenu d'invalide qui doit être retenu pour la comparaison des revenus prescrite par l' art. 16 LPGA (RS 830.1). Comme en instance cantonale, le taux de l'atteinte à l'intégrité n'est pas litigieux. La procédure portant sur l'octroi ou le refus de prestations en espèces de l'assurance-accidents, le Tribunal fédéral n'est pas lié par les faits établis par la juridiction précédente ( art. 105 al. 3 LTF ).</w:t>
      </w:r>
    </w:p>
    <w:p>
      <w:r>
        <w:rPr>
          <w:b/>
        </w:rPr>
        <w:t>E. 3</w:t>
      </w:r>
    </w:p>
    <w:p>
      <w:r>
        <w:t>Le revenu d'invalide doit en principe être évalué en fonction de la situation professionnelle concrète de la personne assurée.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p. 594 s.; 135 V 297 consid. 5.2 p. 301; 129 V 472 consid. 4.2.1 p. 475). La preuve de l'existence d'un salaire dit "social" est toutefois soumise à des exigences sévères, parce que, selon la jurisprudence, l'on doit partir du principe que les salaires payés équivalent normalement à une prestation de travail correspondante ( ATF 141 V 351 consid. 4.2 p. 353; 117 V 8 consid. 2c/aa p. 18). Des liens de parenté ou l'ancienneté des rapports de travail peuvent constituer des indices de la possibilité d'un salaire social (arrêt 9C_371/2013 du 22 août 2013 consid. 4.1 et la référence).</w:t>
      </w:r>
    </w:p>
    <w:p>
      <w:r>
        <w:rPr>
          <w:b/>
        </w:rPr>
        <w:t>E. 4</w:t>
      </w:r>
    </w:p>
    <w:p>
      <w:r>
        <w:t>La juridiction cantonale a retenu que le poste proposé au recourant dès le mois d'août 2015 était pleinement exigible sur le plan médical. Par ailleurs, elle a réfuté le caractère purement occupationnel du travail du recourant et la qualification de "salaire social" pour la rémunération obtenue. Les premiers juges ont considéré que les explications données par C.________ lors des entretiens des 1 er et 22 mars 2016 sur l'utilité des tâches confiées à l'assuré étaient convaincantes et qu'elles étaient corroborées par le correctif apporté au courriel du 18 novembre 2016 par F.________. En outre, la juridiction cantonale a retenu que les précisions apportées par E.________ et l'adjointe au chef du Service des ressources humaines par courrier du 31 mai 2016 confirmaient que la fonction d'ouvrier-chauffeur exercée par le recourant avant sa rechute et celle d'ouvrier professionnel au sein du groupe Signalisation étaient toutes deux rangées dans la classe 19 de l'échelle des traitements de l'administration cantonale valaisanne, bénéficiant ainsi d'une rémunération identique. Les juges ont conclu que le recourant n'avait pas établi au degré de la vraisemblance prépondérante requis que sa rémunération contenait une composante de salaire social.</w:t>
      </w:r>
    </w:p>
    <w:p>
      <w:r>
        <w:rPr>
          <w:b/>
        </w:rPr>
        <w:t>E. 5.1</w:t>
      </w:r>
    </w:p>
    <w:p>
      <w:r>
        <w:t>Le recourant invoque une appréciation arbitraire des faits et des preuves en tant que la cour cantonale n'a pas retenu que la rémunération dans sa fonction au sein du groupe Signalisation contenait une composante de salaire social. Il reproche à la juridiction cantonale de s'être fondée sur les propos de C.________ alors que ce dernier n'avait aucune compétence pour affirmer qu'un employé à l'unité de Signalisation était rémunéré en classe 19. Le recourant fait valoir qu'en tout état de cause, même si un employé de l'unité de Signalisation devait être rémunéré en classe 19, il ne pouvait bénéficier de cette classe de salaire puisqu'il n'avait été affecté qu'au "ponçage de panneaux", soit un aspect très limité de la fonction d'ouvrier au sein du groupe Signalisation. Il soutient encore que la lecture et l'interprétation par la juridiction cantonale des précisions apportées par F.________ à son courriel du 18 novembre 2016 sont erronées et ne sauraient dès lors conduire à la conclusion qu'il pouvait bénéficier de la classe de salaire 19 pour son activité au sein du groupe Signalisation. Selon le recourant, les précisions apportées par E.________ et l'adjointe au chef du Service des ressources humaines dans leur courrier du 31 mai 2016 ont également été interprétées de manière erronée par la juridiction cantonale. A ce propos, il reproche aux premiers juges de ne pas avoir donné suite à sa requête portant sur l'audition de E.________ alors que ce dernier aurait pu établir que l'emploi au sein du groupe Signalisation en tant que "ponceur de panneaux" ne pouvait en aucun cas bénéficier de la classe de traitement 19. Il y voit à la fois une violation de la maxime d'office ( art. 61 let . c LPGA) et une violation de son droit d'être entendu ( art. 29 al. 2 Cst. ).</w:t>
      </w:r>
    </w:p>
    <w:p>
      <w:r>
        <w:rPr>
          <w:b/>
        </w:rPr>
        <w:t>E. 5.2</w:t>
      </w:r>
    </w:p>
    <w:p>
      <w:r>
        <w:t>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arrêt 8C_15/2009 du 11 janvier 2010 consid. 3.2, in SVR 2010 IV n° 42 p. 132). Le juge peut en effet renoncer à accomplir certains actes d'instruction, sans que cela n'entraîne une violation du devoir d'administrer les preuves nécessaires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w:t>
      </w:r>
    </w:p>
    <w:p>
      <w:r>
        <w:rPr>
          <w:b/>
        </w:rPr>
        <w:t>E. 6.1</w:t>
      </w:r>
    </w:p>
    <w:p>
      <w:r>
        <w:t>Dans son correctif apporté au courriel du recourant du 18 novembre 2016, F.________ a notamment biffé les termes d'"activité occupationnelle mise à disposition pour éviter un licenciement" utilisés par le recourant pour décrire son poste de "ponçeur de panneaux" et les a remplacés par "activité plus adaptée au handicap de A.________, en accord avec le représentant de la SUVA". F.________ a confirmé que le recourant avait bénéficié de la même classe salariale pour son activité au sein de l'unité "Signalisation" que pour celle qu'il occupait précédemment comme ouvrier spécialisé. Il a en outre biffé les termes utilisés par le recourant, d'après lesquels "ce poste supplémentaire n'est pas nécessaire et le fait d'avoir offert provisoirement une petite occupation dans le secteur Signalisation n'a été possible que parce que l'unité de personnel A.________ était toujours disponible dans le secteur entretien des routes".</w:t>
      </w:r>
    </w:p>
    <w:p>
      <w:r>
        <w:rPr>
          <w:b/>
        </w:rPr>
        <w:t>E. 6.2</w:t>
      </w:r>
    </w:p>
    <w:p>
      <w:r>
        <w:t>Contrairement à ce que soutient le recourant, on ne saurait déduire de ces précisions que le travail fourni dans sa nouvelle activité au sein de l'unité Signalisation ne pouvait en aucun cas bénéficier de la classe de salaire 19. En particulier, le fait qu'il exerçait dans son nouveau poste une activité "plus adaptée à son handicap" ne permet pas d'inférer que la rémunération perçue par le recourant n'équivalait pas aux prestations de travail correspondantes. Le recourant n'apporte aucun élément concret permettant de penser qu'il n'était pas en mesure de fournir la contrepartie du salaire perçu ou que son rendement était limité.</w:t>
      </w:r>
    </w:p>
    <w:p>
      <w:r>
        <w:rPr>
          <w:b/>
        </w:rPr>
        <w:t>E. 6.3</w:t>
      </w:r>
    </w:p>
    <w:p>
      <w:r>
        <w:t>Son affirmation selon laquelle il était uniquement affecté au "ponçage de panneaux", sous-tendant que cette tâche ne représentait qu'un aspect limité du métier réalisé par les ouvriers travaillant au sein du groupe Signalisation, n'a été corroborée ni par son supérieur direct, ni par le service des ressources humaines. Quant à l'argument du recourant selon lequel l'audition de E.________ aurait permis d'établir que le poste de "ponceur de panneaux" au sein du groupe Signalisation ne pouvait assurément pas bénéficier de la classe de salaire 19, il tombe à faux. En effet, dans la mesure où la fonction de "ponceur de panneaux" n'existait pas et que E.________ avait déjà confirmé par écrit que la fonction d'ouvrier-chauffeur et celle d'ouvrier professionnel au groupe Signalisation étaient toutes deux rangées dans la classe 19 de l'échelle des traitements de l'administration cantonale valaisanne, on ne voit pas en quoi son audition aurait été plus parlante que ses explications fournies par écrit, sauf à se contredire. Vu ce qui précède, l'existence d'un salaire dit "social" n'apparaît dès lors pas établie au degré de la vraisemblance prépondérante.</w:t>
      </w:r>
    </w:p>
    <w:p>
      <w:r>
        <w:rPr>
          <w:b/>
        </w:rPr>
        <w:t>E. 6.4</w:t>
      </w:r>
    </w:p>
    <w:p>
      <w:r>
        <w:t>En l'absence de salaire social, la juridiction cantonale pouvait fixer le revenu d'invalide du recourant en se fondant sur le revenu effectivement réalisé par celui-ci dans son activité adaptée, sans devoir procéder à une évaluation sur la base de salaires fondés sur les données statistiques (cf. ATF 139 V 592 consid. 2.3 p. 593 s.).</w:t>
      </w:r>
    </w:p>
    <w:p>
      <w:r>
        <w:rPr>
          <w:b/>
        </w:rPr>
        <w:t>E. 7</w:t>
      </w:r>
    </w:p>
    <w:p>
      <w:r>
        <w:t>Vu ce qui précède, le jugement attaqué n'est pas critiquable et le recours se révèle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