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8C_341/2025 vom 23. Juni 2025</w:t>
      </w:r>
    </w:p>
    <w:p>
      <w:r>
        <w:t>Bundesgericht, 2025-06-23, DE</w:t>
      </w:r>
    </w:p>
    <w:p>
      <w:r>
        <w:rPr>
          <w:b/>
        </w:rPr>
        <w:t xml:space="preserve">Quelle: </w:t>
      </w:r>
      <w:r>
        <w:t>https://mcp.opencaselaw.ch/entscheid/bger_8C_341_2025</w:t>
      </w:r>
    </w:p>
    <w:p>
      <w:r>
        <w:t>FR: TF 8C_341/2025 du 23 juin 2025</w:t>
      </w:r>
    </w:p>
    <w:p>
      <w:r>
        <w:t>IT: TF 8C_341/2025 del 23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26. März 2025 den Einspracheentscheid der Beschwerdegegnerin vom 23. November 2023, mit welchem der Mutter des Beschwerdeführers vom 1. März bis 31. Mai 2023 keine Ergänzungsleistungen zur AHV zugesprochen wurden. Dabei führte es aus, weshalb die vom Beschwerdeführer geltend gemachte Forderung gegenüber seiner Mutter (Mieteinnahmen aus einer Vermietung der Unterniveaugarage) bei der Ermittlung von deren Leistungsanspruch keine Berücksichtigung finden kann.</w:t>
      </w:r>
    </w:p>
    <w:p>
      <w:r>
        <w:rPr>
          <w:b/>
        </w:rPr>
        <w:t>E. 3</w:t>
      </w:r>
    </w:p>
    <w:p>
      <w:r>
        <w:t>Darauf geht der Beschwerdeführer nicht hinreichend ein. Insbesondere legt er nicht näher dar, inwiefern die von der Vorinstanz vorgenommene Beweiswürdigung willkürlich oder sonstwie rechtsfehlerbehaftet sein könnte ( BGE 146 IV 88 E. 1.3.1 f.; 140 III 115 E. 2; je mit Hinweisen). Genauso wenig führt er aus, inwieweit die darauf beruhenden Erwägungen gegen Bundesrecht verstossen oder einen anderen Beschwerdegrund (vgl. Art. 95 lit. a-e BGG ) gesetzt haben sollen. Soweit er neue Beweismittel beibringt, legt er insbesondere nicht dar, weshalb er diese nicht bereits im vorinstanzlichen Verfahren hätte vorlegen können, wozu er gestützt auf den bei ihm bei der Sachverhaltsermittlung obliegenden, sich aus Treu und Glauben ( Art. 5 Abs. 3 BV ) ergebenen Mitwirkungspflicht verpflichtet gewesen wäre (vgl. BGE 143 V 19 E. 1.2; 133 III 393 E. 3). Dementsprechend können diese keine Berücksichtigung finden ( Art. 99 BGG ). Überdies reicht es nicht aus, einen fehlenden Forderungsverzicht wie auch den (einwandfreien) Nachweis der Ausstände zu behaupten, ohne zugleich auf die entsprechenden vorinstanzlichen Erwägungen im Einzelnen einzugehen und dabei aufzuzeigen, inwieweit das kantonale Gericht im Rahmen seiner Beweiswürdigung in Willkür verfallen sein soll.</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