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8C_341/2023 vom 19. Mai 2026</w:t>
      </w:r>
    </w:p>
    <w:p>
      <w:r>
        <w:t>Bundesgericht, 2026-05-19, FR</w:t>
      </w:r>
    </w:p>
    <w:p>
      <w:r>
        <w:rPr>
          <w:b/>
        </w:rPr>
        <w:t xml:space="preserve">Quelle: </w:t>
      </w:r>
      <w:r>
        <w:t>https://mcp.opencaselaw.ch/entscheid/bger_8C_341_2023</w:t>
      </w:r>
    </w:p>
    <w:p>
      <w:r>
        <w:t>FR: TF 8C_341/2023 du 19 mai 2026</w:t>
      </w:r>
    </w:p>
    <w:p>
      <w:r>
        <w:t>IT: TF 8C_341/2023 del 19 maggio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Valais, Cour des assurances sociales, à l'Office fédéral de la santé publique et à l'Office cantonal des faillites de l'État de U.________.</w:t>
      </w:r>
    </w:p>
    <w:p>
      <w:r>
        <w:t>Lucerne, le 19 mai 2026</w:t>
      </w:r>
    </w:p>
    <w:p>
      <w:r>
        <w:t>Au nom de la IVe Cour de droit public</w:t>
      </w:r>
    </w:p>
    <w:p>
      <w:r>
        <w:t>du Tribunal fédéral suisse</w:t>
      </w:r>
    </w:p>
    <w:p>
      <w:r>
        <w:t>Le Juge unique : Métral</w:t>
      </w:r>
    </w:p>
    <w:p>
      <w:r>
        <w:t>Le Greffier : Colombi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