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340/2011 vom 5. Juli 2011</w:t>
      </w:r>
    </w:p>
    <w:p>
      <w:r>
        <w:t>Bundesgericht, 2011-07-05, DE</w:t>
      </w:r>
    </w:p>
    <w:p>
      <w:r>
        <w:rPr>
          <w:b/>
        </w:rPr>
        <w:t xml:space="preserve">Quelle: </w:t>
      </w:r>
      <w:r>
        <w:t>https://mcp.opencaselaw.ch/entscheid/bger_8C_340_2011</w:t>
      </w:r>
    </w:p>
    <w:p>
      <w:r>
        <w:t>FR: TF 8C 340/2011 du 5 juillet 2011</w:t>
      </w:r>
    </w:p>
    <w:p>
      <w:r>
        <w:t>IT: TF 8C 340/2011 del 5 luglio 2011</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112 Abs. 1 lit. b BGG müssen die Entscheide, welche der Beschwerde ans Bundesgericht unterliegen, die massgebenden Gründe tatsächlicher und rechtlicher Art, insbesondere die Angabe der angewendeten Gesetzesbestimmungen enthalten. Auch wenn es sich beim vorinstanzlichen Entscheid um einen längeren, schwer lesbaren "Dass-Entscheid" handelt, so erfüllt er doch die gesetzlichen Vorgaben (vgl. Urteil 8C_667/2010 vom 15. Dezember 2010 E. 1.3).</w:t>
      </w:r>
    </w:p>
    <w:p>
      <w:r>
        <w:rPr>
          <w:b/>
        </w:rPr>
        <w:t>E. 1.4</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von der Versicherten neu eingereichten Unterlagen ausnahmsweise zulässig wären, sind vorliegend nicht erfüllt, so dass diese unbeachtet bleiben müssen.</w:t>
      </w:r>
    </w:p>
    <w:p>
      <w:r>
        <w:rPr>
          <w:b/>
        </w:rPr>
        <w:t>E. 2</w:t>
      </w:r>
    </w:p>
    <w:p>
      <w:r>
        <w:t>Streitig und zu prüfen ist die Leistungspflicht der SUVA für die nach dem Eingriff vom 7. November 2008 aufgetretene Schmerz-Exazerbation.</w:t>
      </w:r>
    </w:p>
    <w:p>
      <w:r>
        <w:rPr>
          <w:b/>
        </w:rPr>
        <w:t>E. 3</w:t>
      </w:r>
    </w:p>
    <w:p>
      <w:r>
        <w:t>Die Zusprechung von Leistungen der obligatorischen Unfallversicherung setzt grundsätzlich das Vorliegen eines Berufsunfalles, eines Nichtberufsunfalles oder einer Berufskrankheit voraus ( Art. 6 Abs. 1 UVG ). Gemäss Art. 11 UVV werden die Versicherungsleistungen auch für Rückfälle und Spätfolgen gewährt, für Bezüger von Invalidenrenten jedoch nur unter den Voraussetzungen von Art. 21 UVG .</w:t>
      </w:r>
    </w:p>
    <w:p>
      <w:r>
        <w:rPr>
          <w:b/>
        </w:rPr>
        <w:t>E. 4</w:t>
      </w:r>
    </w:p>
    <w:p>
      <w:r>
        <w:t>Das kantonale Gericht hat erwogen, die Schmerzexazerbation sei überwiegend wahrscheinlich auf eine Retraumatisierung des abgeknickten distalen Os Coccygis (Steissbeins) zurückzuführen. Da der Eingriff nicht zur Behandlung von Unfallfolgen durchgeführt worden und die Knickbildung des Steissbeins ebenfalls nicht unfallkausal entstanden sei, fehle es an einer Kausalität zwischen dem Unfall vom 7. Oktober 2003 und der Schmerzexazerbation. Die Beschwerdeführerin macht geltend, die Knickbildung des Steissbeins sei sehr wohl als Unfallfolge zu betrachten. Damit stellt sie sich in Widerspruch zum Urteil des Bundesgerichts 8C_705/2009 vom 25. November 2009: In E. 4.1 dieses Urteils hat das Bundesgericht erwogen, der Os Coccygis weise zwar nach ventral, doch sei dies als Normvariante zu betrachten. Die von der Beschwerdeführerin erlittenen Unfälle (unter anderem auch jener vom 7. Oktober 2003) hätten keine strukturelle Läsionen hinterlassen. Gründe, um auf diese Würdigung zurückzukommen, sind keine ersichtlich. Demnach kann offenbleiben, ob die geklagten Beschwerden tatsächlich durch eine Retraumatisierung der Steissbein-Knickbildung verursacht wurden, oder ob sich diese - wie der SUVA-Arzt Dr. med. S.________ in seiner Beurteilung vom 22. Oktober 2009 schreibt - somatisch nicht erklären lassen. Eine Leistungspflicht der Unfallversicherung besteht so oder anders nicht; die Beschwerde der Versicherten ist abzuweisen.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