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8C_340/2007 vom 12. Juni 2008</w:t>
      </w:r>
    </w:p>
    <w:p>
      <w:r>
        <w:t>Bundesgericht, 2008-06-12, DE</w:t>
      </w:r>
    </w:p>
    <w:p>
      <w:r>
        <w:rPr>
          <w:b/>
        </w:rPr>
        <w:t xml:space="preserve">Quelle: </w:t>
      </w:r>
      <w:r>
        <w:t>https://mcp.opencaselaw.ch/entscheid/bger_8C_340_2007</w:t>
      </w:r>
    </w:p>
    <w:p>
      <w:r>
        <w:t>FR: TF 8C_340/2007 du 12 juin 2008</w:t>
      </w:r>
    </w:p>
    <w:p>
      <w:r>
        <w:t>IT: TF 8C_340/2007 del 12 giugno 2008</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2</w:t>
      </w:r>
    </w:p>
    <w:p>
      <w:r>
        <w:t>Unbestritten ist im vorliegenden Fall, dass die Beurteilung der Kausalität der geklagten Beschwerden mit dem Unfall nach der Rechtsprechung zu den Unfallfolgen bei Unfällen mit Schleudertrauma der Halswirbelsäule (bzw. äquivalenter Verletzung) zu erfolgen hat ( BGE 117 V 359 und 134 V 109).</w:t>
      </w:r>
    </w:p>
    <w:p>
      <w:r>
        <w:rPr>
          <w:b/>
        </w:rPr>
        <w:t>E. 3</w:t>
      </w:r>
    </w:p>
    <w:p>
      <w:r>
        <w:t>Zu prüfen ist zunächst, ob die SUVA den Fall auf Ende März 2005 abschliessen durfte.</w:t>
      </w:r>
    </w:p>
    <w:p>
      <w:r>
        <w:rPr>
          <w:b/>
        </w:rPr>
        <w:t>E. 3.1</w:t>
      </w:r>
    </w:p>
    <w:p>
      <w:r>
        <w:t>Das Bundesgericht hat sich in BGE 134 V 109 auch zum Zeitpunkt des Fallabschlusses geäussert (E. 3 und 4 S. 112 ff.).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 Damit stellen sich die Fragen, ob eine allenfalls noch bestehende Arbeitsunfähigkeit unfallbedingt ist und (falls ja) ob sie durch weitere Heilbehandlung noch namhaft gesteigert oder wieder hergestellt werden kann; wenn eine entsprechende Verbesserung nicht erwartet werden kann, ist der Fall abzuschliessen.</w:t>
      </w:r>
    </w:p>
    <w:p>
      <w:r>
        <w:rPr>
          <w:b/>
        </w:rPr>
        <w:t>E. 3.2</w:t>
      </w:r>
    </w:p>
    <w:p>
      <w:r>
        <w:t>Das kantonale Gericht hat dazu erwogen, dass gemäss Auffassung der Ärzte des Spitals F.________ in ihrem Gutachten vom 29. März 2005 aus rheumatologischer Sicht und zufolge des cervicocephalen Schmerzsyndroms in den angestammten Tätigkeiten keine Einschränkung der Arbeitsfähigkeit bestehe. Die Auswirkungen der geltend gemachten Störungen im Sinne des HWS-Distorsionstraumas seien nur schwer einschätzbar, wobei die Gutachter namentlich die Konzentrationsstörungen und Ermüdungserscheinungen zumindest im Rahmen der zweistündigen Untersuchung anhand des vom Beschwerdeführer gezeigten Verhaltens nicht bestätigen konnten; die behaupteten Visusstörungen (abgesehen von der beginnenden Alterskurzsichtigkeit) stimmten nicht mit den Befunden der Augenärztin Dr. med. B.________ überein.</w:t>
      </w:r>
    </w:p>
    <w:p>
      <w:r>
        <w:t>Damit ist die Frage nach der unfallbedingten Arbeitsunfähigkeit nicht eindeutig beantwortet.</w:t>
      </w:r>
    </w:p>
    <w:p>
      <w:r>
        <w:rPr>
          <w:b/>
        </w:rPr>
        <w:t>E. 3.3</w:t>
      </w:r>
    </w:p>
    <w:p>
      <w:r>
        <w:t>Zur Frage der Möglichkeit einer namhaften Verbesserung des Gesundheitszustandes konnten sich die Gutachter indessen eindeutig dahingehend äussern, dass bezüglich der Schmerzsymptomatik eine Besserung durch medizinische Massnahmen unwahrscheinlich sei. Lediglich eine Aktivitätssteigerung könne die heute subjektiv bestehenden Funktionseinschränkungen verbessern. Dazu sei eine möglichst gute Motivation des Patienten zum Wiedereinstieg in seine berufliche Tätigkeit notwendig.</w:t>
      </w:r>
    </w:p>
    <w:p>
      <w:r>
        <w:t>Der Fallabschluss durch die SUVA per 31. März 2005 war demnach gerechtfertigt.</w:t>
      </w:r>
    </w:p>
    <w:p>
      <w:r>
        <w:rPr>
          <w:b/>
        </w:rPr>
        <w:t>E. 4</w:t>
      </w:r>
    </w:p>
    <w:p>
      <w:r>
        <w:t>Es stellt sich im Weiteren die Frage,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 BGE 134 V 109 E. 9.5 S. 125). Die Vorinstanz hat sich dazu einlässlich geäussert; sie konnte die Frage nicht eindeutig beantworten, sie indessen offen lassen aus dem nachfolgend dargelegten Grund.</w:t>
      </w:r>
    </w:p>
    <w:p>
      <w:r>
        <w:rPr>
          <w:b/>
        </w:rPr>
        <w:t>E. 5.1</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369 E. 4b und c S. 383 f.).</w:t>
      </w:r>
    </w:p>
    <w:p>
      <w:r>
        <w:rPr>
          <w:b/>
        </w:rPr>
        <w:t>E. 5.2</w:t>
      </w:r>
    </w:p>
    <w:p>
      <w:r>
        <w:t>Das kantonale Gericht ist davon ausgegangen, dass der erlittene Faustschlag ins Gesicht als leichter Unfall zu qualifizieren sei, womit die adäquate Kausalität der noch geklagten Beschwerden von vornherein zu verneinen war.</w:t>
      </w:r>
    </w:p>
    <w:p>
      <w:r>
        <w:rPr>
          <w:b/>
        </w:rPr>
        <w:t>E. 5.3</w:t>
      </w:r>
    </w:p>
    <w:p>
      <w:r>
        <w:t>Diese Zuordnung erscheint fraglich. So wurde ein Faustschlag mit kurzzeitiger Bewusstlosigkeit, Commotio cerebri und Rissquetschwunde als mittelschwer beurteilt (Urteil U 37/94 vom 21. August 1997, E. 5a; vgl. auch Urteil U 366/06 vom 23. Mai 2007, E. 5.1). Selbst wenn jedoch ein mittelschweres Ereignis, im Grenzbereich zu den leichten Unfällen, anzunehmen wäre, müsste die Adäquanz verneint werden.</w:t>
      </w:r>
    </w:p>
    <w:p>
      <w:r>
        <w:rPr>
          <w:b/>
        </w:rPr>
        <w:t>E. 5.3.1</w:t>
      </w:r>
    </w:p>
    <w:p>
      <w:r>
        <w:t>Besonders dramatische Begleitumstände oder eine besondere Eindrücklichkeit des Unfalls liegen - objektiv betrachtet (RKUV 1999 Nr. U 335 S. 209 E. 3b/cc; vgl. auch RKUV 2000 Nr. U 394 S. 313 [Urteil U 248/98 vom 31. Mai 2000, E. 4 und 5]) - nicht vor.</w:t>
      </w:r>
    </w:p>
    <w:p>
      <w:r>
        <w:rPr>
          <w:b/>
        </w:rPr>
        <w:t>E. 5.3.2</w:t>
      </w:r>
    </w:p>
    <w:p>
      <w:r>
        <w:t>Der Unfall hatte auch keine schweren Verletzungen oder Verletzungen besonderer Art zur Folge. Es bedarf hiezu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w:t>
      </w:r>
    </w:p>
    <w:p>
      <w:r>
        <w:rPr>
          <w:b/>
        </w:rPr>
        <w:t>E. 5.3.3</w:t>
      </w:r>
    </w:p>
    <w:p>
      <w:r>
        <w:t>Für das Kriterium der ärztlichen Behandlung entscheidwesentlich ist (vgl. BGE 134 V 109 E. 10.2.3 S. 128), ob nach dem Unfall fortgesetzt spezifische, die versicherte Person belastende ärztliche Behandlung bis zum Fallabschluss notwendig war. Der Beschwerdeführer unterzog sich zwar bis im März 2005 regelmässig physiotherapeutischen Massnahmen und wurde ausserdem medikamentös behandelt. Gestützt darauf rechtfertigt sich jedoch noch nicht die Bejahung des zu prüfenden Kriteriums, resultiert daraus doch keine erhebliche - im Sinne einer sich allein daraus ergebenden zusätzlichen - Mehrbelastung.</w:t>
      </w:r>
    </w:p>
    <w:p>
      <w:r>
        <w:rPr>
          <w:b/>
        </w:rPr>
        <w:t>E. 5.3.4</w:t>
      </w:r>
    </w:p>
    <w:p>
      <w:r>
        <w:t>Das präzisierte Kriterium der erheblichen Beschwerden ist zumindest nicht in ausgeprägter Weise erfüllt.</w:t>
      </w:r>
    </w:p>
    <w:p>
      <w:r>
        <w:rPr>
          <w:b/>
        </w:rPr>
        <w:t>E. 5.3.5</w:t>
      </w:r>
    </w:p>
    <w:p>
      <w:r>
        <w:t>Eine ärztliche Fehlbehandlung oder ein schwieriger Heilungsverlauf liegen ebenfalls nicht vor.</w:t>
      </w:r>
    </w:p>
    <w:p>
      <w:r>
        <w:rPr>
          <w:b/>
        </w:rPr>
        <w:t>E. 5.3.6</w:t>
      </w:r>
    </w:p>
    <w:p>
      <w:r>
        <w:t>Das Merkmal der erheblichen Arbeitsunfähigkeit trotz ausgewiesener Anstrengungen liegt - wenn auch nicht in ausgeprägter Weise - vor, konnte der Versicherte doch seit Juni 2004 als X.________ nur noch einen statt fünf Einsätze pro Woche (entsprechend einer 70 %-Anstellung) leisten und musste er seinen Betrieb im November 2005 verkaufen.</w:t>
      </w:r>
    </w:p>
    <w:p>
      <w:r>
        <w:rPr>
          <w:b/>
        </w:rPr>
        <w:t>E. 5.3.7</w:t>
      </w:r>
    </w:p>
    <w:p>
      <w:r>
        <w:t>Da somit nur ein Kriterium erfüllt ist, ein zweites jedenfalls nur knapp, kann die Adäquanz der Unfallfolgen mit dem - wenn überhaupt - höchstens als mittleren Unfall im Grenzbereich zu den leichten einzuordnenden Ereignis vom 18. März 2004 nicht bejaht werden.</w:t>
      </w:r>
    </w:p>
    <w:p>
      <w:r>
        <w:rPr>
          <w:b/>
        </w:rPr>
        <w:t>E. 5.4</w:t>
      </w:r>
    </w:p>
    <w:p>
      <w:r>
        <w:t>Die SUVA hat ihre Leistungen damit zu Recht per Ende März 2005 eingestellt und der angefochtene Entscheid ist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