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8C_33/2025 vom 19. Februar 2025</w:t>
      </w:r>
    </w:p>
    <w:p>
      <w:r>
        <w:t>Bundesgericht, 2025-02-19, DE</w:t>
      </w:r>
    </w:p>
    <w:p>
      <w:r>
        <w:rPr>
          <w:b/>
        </w:rPr>
        <w:t xml:space="preserve">Quelle: </w:t>
      </w:r>
      <w:r>
        <w:t>https://mcp.opencaselaw.ch/entscheid/bger_8C_33_2025</w:t>
      </w:r>
    </w:p>
    <w:p>
      <w:r>
        <w:t>FR: TF 8C_33/2025 du 19 février 2025</w:t>
      </w:r>
    </w:p>
    <w:p>
      <w:r>
        <w:t>IT: TF 8C_33/2025 del 19 febbraio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8C_33/2025</w:t>
      </w:r>
    </w:p>
    <w:p>
      <w:r>
        <w:t>Urteil vom 19. Februar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Sozialversicherung (Prozessvoraussetzung),</w:t>
      </w:r>
    </w:p>
    <w:p>
      <w:r>
        <w:t>Beschwerde gegen einen unbekannten Entscheid.</w:t>
      </w:r>
    </w:p>
    <w:p>
      <w:r>
        <w:t>Nach Einsicht</w:t>
      </w:r>
    </w:p>
    <w:p>
      <w:r>
        <w:t>in die als Einsprache bezeichnete Eingabe vom 10. Dezember 2024 gegen einen mit VBE.2014.141/im/bs referenzierten Entscheid,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ohne den angefochtenen Entscheid (hierzu Art. 42 Abs. 3 BGG ) eingereichte Eingabe den Minimalanforderungen an eine Rechtsmittelbegründung gemäss Art. 42 Abs. 2 BGG offensichtlich nicht genügt, wird darin doch allein sinngemäss um Nachsicht in einer Angelegenheit ersucht, in welcher dem Beschwerdeführer wegen einem Fehlverhalten Taggelder gestrichen worden sind,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schriftlich mitgeteilt.</w:t>
      </w:r>
    </w:p>
    <w:p>
      <w:r>
        <w:t>Luzern, 19. Februar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