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8C_339/2019 vom 5. Juni 2019</w:t>
      </w:r>
    </w:p>
    <w:p>
      <w:r>
        <w:t>Bundesgericht, 2019-06-05, DE</w:t>
      </w:r>
    </w:p>
    <w:p>
      <w:r>
        <w:rPr>
          <w:b/>
        </w:rPr>
        <w:t xml:space="preserve">Quelle: </w:t>
      </w:r>
      <w:r>
        <w:t>https://mcp.opencaselaw.ch/entscheid/bger_8C_339_2019</w:t>
      </w:r>
    </w:p>
    <w:p>
      <w:r>
        <w:t>FR: TF 8C_339/2019 du 5 juin 2019</w:t>
      </w:r>
    </w:p>
    <w:p>
      <w:r>
        <w:t>IT: TF 8C_339/2019 del 5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8C_339/2019</w:t>
      </w:r>
    </w:p>
    <w:p>
      <w:r>
        <w:t>Urteil vom 5. Juni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Amt für Wirtschaft und Arbeit des Kantons Zürich, Abteilung Arbeitslosenversicherung, Stampfenbachstrasse 32, 8001 Zürich,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Sozialversicherungsgerichts des Kantons Zürich</w:t>
      </w:r>
    </w:p>
    <w:p>
      <w:r>
        <w:t>vom 8. März 2019 (AL.2018.00147).</w:t>
      </w:r>
    </w:p>
    <w:p>
      <w:r>
        <w:t>Nach Einsicht</w:t>
      </w:r>
    </w:p>
    <w:p>
      <w:r>
        <w:t>in die vom Sozialversicherungsgericht des Kantons Zürich übermittelte Eingabe von A.________ vom 26. April 2019 (Poststempel),</w:t>
      </w:r>
    </w:p>
    <w:p>
      <w:r>
        <w:t>in die Verfügung des Bundesgerichts vom 6. Mai 2019 an A.________, worin</w:t>
      </w:r>
    </w:p>
    <w:p>
      <w:r>
        <w:t>- sie angefragt wurde, ob diese Eingabe als Beschwerde gegen den Entscheid des Sozialversicherungsgerichts des Kantons Zürich vom 8. März 2019 entgegen genommen werden soll,</w:t>
      </w:r>
    </w:p>
    <w:p>
      <w:r>
        <w:t>-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von A.________ am 23. Mai 2019 (Poststempel)eingereichte Eingabe,</w:t>
      </w:r>
    </w:p>
    <w:p>
      <w:r>
        <w:t>in Erwägung,</w:t>
      </w:r>
    </w:p>
    <w:p>
      <w:r>
        <w:t>dass die zweite Eingabe vom 23. Mai 2019 erst nach der gemäss Art. 44 - 48 BGG am 13. Mai 2019 abgelaufenen Rechtsmittelfrist eingereicht worden ist,</w:t>
      </w:r>
    </w:p>
    <w:p>
      <w:r>
        <w:t>dass sie daher nur soweit entgegen genommen werden kann, als darin um Eröffnung eines Beschwerdedossiers ersucht wird,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Vorinstanz in Auseinandersetzung mit den Parteivorbringen und Würdigung der Akten die von der Verwaltung verfügte Einstellung in der Anspruchsberechtigung auf Arbeitslosentaggeld für die Dauer von 31 Tagen bestätigte,</w:t>
      </w:r>
    </w:p>
    <w:p>
      <w:r>
        <w:t>dass die Beschwerdeführerin die Einstellungsdauer zwar beanstandet, ohne indessen auf die diesbezüglichen Erwägungen hinreichend konkret einzugehen, geschweige denn aufzuzeigen, inwiefern dem angefochtenen Entscheid ein Rechtsfehler anhaften könnte; eine Ermessensausübung, wozu die Festlegung der Einstellungsdauer typischerweise zählt, ist erst dann rechtsfehlerhaft, wenn ein eigentlicher Ermessensmissbrauch vorliegt,</w:t>
      </w:r>
    </w:p>
    <w:p>
      <w:r>
        <w:t>dass dieser Begründungsmangel offensichtlich ist,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Staatssekretariat für Wirtschaft (SECO) schriftlich mitgeteilt.</w:t>
      </w:r>
    </w:p>
    <w:p>
      <w:r>
        <w:t>Luzern, 5. Juni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