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339/2014 vom 20. August 2014</w:t>
      </w:r>
    </w:p>
    <w:p>
      <w:r>
        <w:t>Bundesgericht, 2014-08-20, DE</w:t>
      </w:r>
    </w:p>
    <w:p>
      <w:r>
        <w:rPr>
          <w:b/>
        </w:rPr>
        <w:t xml:space="preserve">Quelle: </w:t>
      </w:r>
      <w:r>
        <w:t>https://mcp.opencaselaw.ch/entscheid/bger_8C_339_2014</w:t>
      </w:r>
    </w:p>
    <w:p>
      <w:r>
        <w:t>FR: TF 8C 339/2014 du 20 août 2014</w:t>
      </w:r>
    </w:p>
    <w:p>
      <w:r>
        <w:t>IT: TF 8C 339/2014 del 20 agosto 2014</w:t>
      </w:r>
    </w:p>
    <w:p>
      <w:pPr>
        <w:pStyle w:val="Heading2"/>
      </w:pPr>
      <w:r>
        <w:t>Regeste</w:t>
      </w:r>
    </w:p>
    <w:p>
      <w:r>
        <w:t>Invalidenversicherung (Invaliditätsgrad; abgestufte Rente)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und zu prüfen ist die Höhe des Anspruchs auf eine Invalidenrente ab 1. April 2012. Das kantonale Gericht hat die Bestimmungen und Grundsätze zu den Begriffen Invalidität ( Art. 8 Abs. 1 ATSG , Art. 4 Abs. 1 IVG ) und Erwerbsunfähigkeit ( Art. 7 Abs. 1 ATSG ), zum nach dem Grad der Invalidität abgestuften Anspruch auf eine Invalidenrente ( Art. 28 Abs. 2 IVG ), zum Untersuchungsgrundsatz sowie zu den Anforderungen an beweiswertige ärztliche Berichte und Gutachten ( BGE 125 V 256 E. 4 S. 261; vgl. ferner BGE 132 V 93 E. 4 S. 99) zutreffend dargelegt. Darauf wird verwiesen. 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Dies gilt auch im Falle einer rückwirkenden Zusprechung einer befristeten und/oder abgestuften Invalidenrente.</w:t>
      </w:r>
    </w:p>
    <w:p>
      <w:r>
        <w:rPr>
          <w:b/>
        </w:rPr>
        <w:t>E. 3.1</w:t>
      </w:r>
    </w:p>
    <w:p>
      <w:r>
        <w:t>Der Beschwerdeführer lässt zunächst eine Verletzung seines rechtlichen Gehörs rügen. Er habe keine Möglichkeit gehabt, im Rahmen der MEDAS-Begutachtung Ergänzungsfragen einzureichen.</w:t>
      </w:r>
    </w:p>
    <w:p>
      <w:r>
        <w:rPr>
          <w:b/>
        </w:rPr>
        <w:t>E. 3.2</w:t>
      </w:r>
    </w:p>
    <w:p>
      <w:r>
        <w:t>Wie bereits im angefochtenen Entscheid dargelegt, wurden dem beschwerdeführerischen Rechtsvertreter, der erst nach den gutachterlichen Untersuchungen mandatiert worden war, noch vor Erstellung des Gutachtens sämtliche Akten, inklusive der Gutachterfragen zugestellt. Er hätte damit die Möglichkeit gehabt, ihm notwendig erscheinende Ergänzungsfragen zu stellen. Diese Möglichkeit hatte dem Beschwerdeführer erneut offen gestanden, als ihm das Gutachten am 16. Juli 2012 zur Kenntnisnahme zugestellt worden war, oder als er im Rahmen des Vorbescheidverfahrens Einwände gegen die vorgesehene Verfügung erheben konnte. Indessen hat er keine dieser Gelegenheiten genutzt, um eventuelle Ergänzungsfragen zum Gutachten zu stellen. Damit wurde sein rechtliches Gehör nicht verletzt.</w:t>
      </w:r>
    </w:p>
    <w:p>
      <w:r>
        <w:rPr>
          <w:b/>
        </w:rPr>
        <w:t>E. 4</w:t>
      </w:r>
    </w:p>
    <w:p>
      <w:r>
        <w:t>Die Vorinstanz stellte gestützt auf das als überzeugend und umfassend qualifizierte Gutachten der MEDAS vom 10. Juli 2012 fest, der Beschwerdeführer sei einzig durch seine somatischen Erkrankungen (Rückenleiden, Psoriasis-Arthropathie mit Gelenksbefall) in der Arbeitsfähigkeit eingeschränkt. Es sei ihm ab Januar 2012 zumutbar, in einer behinderungsangepassten Tätigkeit eine 50 %ige Leistung zu erbringen.</w:t>
      </w:r>
    </w:p>
    <w:p>
      <w:r>
        <w:rPr>
          <w:b/>
        </w:rPr>
        <w:t>E. 5.1</w:t>
      </w:r>
    </w:p>
    <w:p>
      <w:r>
        <w:t>Der Beschwerdeführer kritisiert zunächst die vorinstanzliche Würdigung des MEDAS-Gutachtens. Seine Einwendungen erschöpfen sich dabei weitgehend in einer im Rahmen der gesetzlichen Überprüfungsbefugnis des Bundesgerichts (E. 1.2 hievor) unzulässigen appellatorischen Kritik. Er setzt sich nicht mit den Erwägungen und der Begründung im angefochtenen Entscheid auseinander. Insbesondere genügt es nicht, einzelne Beweise anzuführen, die anders als im angefochtenen Entscheid gewichtet werden sollen, und dem Bundesgericht die eigene Auffassung zu unterbreiten, als ob diesem freie Sachverhaltsprüfung zukäme (vgl. BGE 116 Ia 85 E. 2b). Der Versicherte beschränkt sich bezüglich des materiellen Gehalts der Begründung über weite Teile auf Wiederholungen der Vorbringen im kantonalen Verfahren.</w:t>
      </w:r>
    </w:p>
    <w:p>
      <w:r>
        <w:rPr>
          <w:b/>
        </w:rPr>
        <w:t>E. 5.2</w:t>
      </w:r>
    </w:p>
    <w:p>
      <w:r>
        <w:t>Konkret sind die beschwerdeführerischen Behauptungen im wesentlichen aktenwidrig. So gehen die MEDAS-Gutachter entgegen seiner Darstellung nicht von einer maximal zumutbaren Leistung von einer Stunde im Tag aus. Wie das kantonale Gericht bereits feststellte, wird im Gutachten lediglich eine Tätigkeit mit Positionswechseln empfohlen, bei der er nicht länger als eine Stunde am Stück sitzen sollte. Eine weitergehende Einschränkung enthält das Gutachten nicht. Das gleiche gilt für den - erneut vorgetragenen - Vorwurf, das Gutachten befasse sich nicht mit seiner verminderten Konzentrationsfähigkeit, weshalb die Abklärungspflicht der Verwaltung, beziehungsweise der Untersuchungsgrundsatz des erstinstanzlichen Gerichts, verletzt worden sei. Wie bereits im vorinstanzlichen Entscheid dargelegt, steht diese Behauptung im Widerspruch zum Gutachten vom 10. Juli 2012. Dort wird ausdrücklich angeführt, im Rahmen der Untersuchung hätten sich keine Anhaltspunkte für eine entsprechende Beeinträchtigung gezeigt. Die Frage nach der Konzentrationsfähigkeit wurde demnach ebenso wie jene nach weiteren kognitiven Beeinträchtigungen geprüft und beantwortet. Das kantonale Gericht hat den Untersuchungsgrundsatz nicht verletzt. Schliesslich findet auch die Behauptung, der Gesundheitszustand habe sich nicht verbessert, weshalb kein Revisionsgrund vorliege und über den 31. März 2012 hinaus ein Anspruch auf eine ganze Rente bestehe, im Gutachten keine Stütze. Der Beschwerdeführer zitiert ältere Arztberichte, um seinen Standpunkt zu vertreten, lässt hingegen unerwähnt, dass am 19. September 2011 eine - erneute - Revisionsoperation seines Rückens stattgefunden hatte. Die vorinstanzliche Feststellung, dass sich danach die Rückenbeschwerden wesentlich besserten, ist aktenkonform. Das Gleiche gilt für die daraus gezogene Schlussfolgerung einer höheren Arbeitsfähigkeit ab Januar 2012.</w:t>
      </w:r>
    </w:p>
    <w:p>
      <w:r>
        <w:rPr>
          <w:b/>
        </w:rPr>
        <w:t>E. 5.3</w:t>
      </w:r>
    </w:p>
    <w:p>
      <w:r>
        <w:t>Insoweit als die vorinstanzliche Invaliditätsbemessung gerügt wird, bleibt anzufügen, dass sich der Beschwerdeführer nicht mit den vorinstanzlichen Erwägungen auseinandersetzt, sondern eigene Behauptungen anführt (beispielsweise, er sei nur noch in der Lage, einfachste Handreichungen auszuführen), die sich nicht mit der Aktenlage decken. Die Anforderungen an die Begründungspflicht werden damit nicht erfüllt, weshalb nicht näher darauf einzugehen ist (E. 1.2 hievor). Es kommt hinzu, dass die Höhe des Abzugs nur im Hinblick auf Ermessensüberschreitung oder -missbrauch als Formen rechtsfehlerhafter Ermessensbetätigung ( BGE 132 V 393 E. 3.3 S. 399) gerügt werden kann. Die Vorinstanz hat dargelegt, weshalb beim Beschwerdeführer von den zulässigen Merkmalen (leidensbedingte Einschränkung, Alter, Dienstjahre, Nationalität/Aufenthaltskategorie und Beschäftigungsgrad) lediglich das letzte Kriterium (nur noch teilzeitlich mögliche Arbeitstätigkeit) berücksichtigt werden kann. Dafür den von der IV-Stelle gewährten Abzug von 10 % zu bestätigen, war materiellrechtlich nicht rechtsfehlerhaft. Es bleibt daher bei einem Invaliditätsgrad von 62 % ab Januar 2012 und dem Anspruch auf eine Dreiviertelsrente ab 1. April 2012. Die Beschwerde ist abzuweisen.</w:t>
      </w:r>
    </w:p>
    <w:p>
      <w:r>
        <w:rPr>
          <w:b/>
        </w:rPr>
        <w:t>E. 6</w:t>
      </w:r>
    </w:p>
    <w:p>
      <w:r>
        <w:t>Die Beschwerde hatte keine Aussicht auf Erfolg, weshalb sie im vereinfachten Verfahren nach Art. 109 BGG ohne Durchführung des Schriftenwechsels und mit summarischer Begründung erledigt wird.</w:t>
      </w:r>
    </w:p>
    <w:p>
      <w:r>
        <w:rPr>
          <w:b/>
        </w:rPr>
        <w:t>E. 7</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