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338/2007 vom 4. August 2008</w:t>
      </w:r>
    </w:p>
    <w:p>
      <w:r>
        <w:t>Bundesgericht, 2008-08-04, IT</w:t>
      </w:r>
    </w:p>
    <w:p>
      <w:r>
        <w:rPr>
          <w:b/>
        </w:rPr>
        <w:t xml:space="preserve">Quelle: </w:t>
      </w:r>
      <w:r>
        <w:t>https://mcp.opencaselaw.ch/entscheid/bger_8C_338_2007</w:t>
      </w:r>
    </w:p>
    <w:p>
      <w:r>
        <w:t>FR: TF 8C 338/2007 du 4 août 2008</w:t>
      </w:r>
    </w:p>
    <w:p>
      <w:r>
        <w:t>IT: TF 8C 338/2007 del 4 agosto 2008</w:t>
      </w:r>
    </w:p>
    <w:p>
      <w:pPr>
        <w:pStyle w:val="Heading2"/>
      </w:pPr>
      <w:r>
        <w:t>Regeste</w:t>
      </w:r>
    </w:p>
    <w:p>
      <w:r>
        <w:t>Assicurazione contro la disoccupazione | Assicurazione contro la disoccupazione</w:t>
      </w:r>
    </w:p>
    <w:p>
      <w:pPr>
        <w:pStyle w:val="Heading2"/>
      </w:pPr>
      <w:r>
        <w:t>Erwägungen</w:t>
      </w:r>
    </w:p>
    <w:p>
      <w:r>
        <w:rPr>
          <w:b/>
        </w:rPr>
        <w:t>E. 1</w:t>
      </w:r>
    </w:p>
    <w:p>
      <w:r>
        <w:t>Il ricorso in materia di diritto pubblico (art. 82 segg. LTF) può essere presentato per violazione del diritto, conformemente a quanto stabilito dagli art. 95 e 96 LTF . Il Tribunale federale esamina in linea di principio solo le censure sollevate; esso non è per contro tenuto a vagliare, come lo farebbe un'autorità di prima istanza, tutte le questioni giuridiche che si pongono, se quest'ultime non sono presentate nella sede federale ( DTF 133 II 249 consid. 1.4.1 pag. 254). Per il resto,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 DTF 133 IV 286 consid. 6.2 pag. 288). Il ricorrente può quindi contestare l'accertamento dei fatti determinanti per il giudizio solo se siano stati stabiliti in violazione del diritto ai sensi dell' art. 95 LTF o in maniera manifestamente inesatta ( art. 97 cpv. 1 LTF ), vale a dire arbitraria, ciò che deve dimostrare con una motivazione conforme alle esigenze poste dall' art. 106 cpv. 2 LTF .</w:t>
      </w:r>
    </w:p>
    <w:p>
      <w:r>
        <w:rPr>
          <w:b/>
        </w:rPr>
        <w:t>E. 2</w:t>
      </w:r>
    </w:p>
    <w:p>
      <w:r>
        <w:t>In concreto la Corte cantonale ha in primo luogo stabilito che la qui opponente non adempiva i presupposti legali per il riconoscimento di prestazioni assicurative in relazione alla frequentazione del corso di collaboratrice sanitaria X.________. Questa conclusione è corretta e incontestata. Controversa è per contro la deduzione del primo giudice, secondo cui sarebbero soddisfatte le condizioni poste dalla giurisprudenza per beneficiare del diritto all'uguaglianza nell'illegalità.</w:t>
      </w:r>
    </w:p>
    <w:p>
      <w:r>
        <w:rPr>
          <w:b/>
        </w:rPr>
        <w:t>E. 3</w:t>
      </w:r>
    </w:p>
    <w:p>
      <w:r>
        <w:t>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 DTF 131 V 9 consid. 3.7 pag. 20; 126 V 390 consid. 6a pag. 392; 122 II 446 consid. 4a pag. 451, con riferimenti di giurisprudenza e dottrina).</w:t>
      </w:r>
    </w:p>
    <w:p>
      <w:r>
        <w:rPr>
          <w:b/>
        </w:rPr>
        <w:t>E. 4</w:t>
      </w:r>
    </w:p>
    <w:p>
      <w:r>
        <w:t>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w:t>
      </w:r>
    </w:p>
    <w:p>
      <w:r>
        <w:rPr>
          <w:b/>
        </w:rPr>
        <w:t>E. 5</w:t>
      </w:r>
    </w:p>
    <w:p>
      <w:r>
        <w:t>La procedura è onerosa (art. 65 seg. LTF). Le spese, che seguono la soccombenza ( art. 66 cpv. 1 LTF ), andrebbero di conseguenza poste a carico dell'assicurata opponente. Tenuto conto delle particolari circostanze del caso, si prescinde tuttavia eccezionalmente dal prelevare simili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