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8C_337/2011 vom 5. Dezember 2011</w:t>
      </w:r>
    </w:p>
    <w:p>
      <w:r>
        <w:t>Bundesgericht, 2011-12-05, DE</w:t>
      </w:r>
    </w:p>
    <w:p>
      <w:r>
        <w:rPr>
          <w:b/>
        </w:rPr>
        <w:t xml:space="preserve">Quelle: </w:t>
      </w:r>
      <w:r>
        <w:t>https://mcp.opencaselaw.ch/entscheid/bger_8C_337_2011</w:t>
      </w:r>
    </w:p>
    <w:p>
      <w:r>
        <w:t>FR: TF 8C_337/2011 du 5 décembre 2011</w:t>
      </w:r>
    </w:p>
    <w:p>
      <w:r>
        <w:t>IT: TF 8C_337/2011 del 5 dicembre 2011</w:t>
      </w:r>
    </w:p>
    <w:p>
      <w:pPr>
        <w:pStyle w:val="Heading2"/>
      </w:pPr>
      <w:r>
        <w:t>Erwägungen</w:t>
      </w:r>
    </w:p>
    <w:p>
      <w:r>
        <w:rPr>
          <w:b/>
        </w:rPr>
        <w:t>E. 1.1</w:t>
      </w:r>
    </w:p>
    <w:p>
      <w:r>
        <w:t>Gemäss Art. 100 Abs. 1 BGG ist die Beschwerde gegen einen Entscheid - von hier nicht interessierenden Ausnahmen abgesehen - innert 30 Tagen nach Eröffnung der vollständigen Ausfertigung beim Bundesgericht einzureichen.</w:t>
      </w:r>
    </w:p>
    <w:p>
      <w:r>
        <w:t>Der erste Zustellungsversuch des vorinstanzlichen Gerichtsentscheids war erfolglos. Gemäss dem "Track &amp; Trace"-Auszug der Schweizerischen Post wurde der Entscheid am 25. Februar 2011 der Post zur Weiterbeförderung übergeben, mangels Abholung durch den Beschwerdeführer aber am 8. März 2011 wieder an den Absender zurückgeschickt. Am 10. März 2011 versandte das kantonale Gericht den Entscheid ein zweites Mal. Der Beschwerdeführer macht geltend, er habe die eingeschriebene Sendung am 18. März 2011 am Postschalter abgeholt. Dies stimmt mit dem von ihm unterschriftlich bestätigten Zustelldatum auf der Empfangsbestätigung überein. In seiner Stellungnahme zur Rechtzeitigkeit seiner Beschwerde macht er geltend, er habe vom ersten Zustellversuch nichts gewusst. Es ist ihm insoweit beizupflichten, als mit Blick auf die Abklärungen zum ersten Zustellversuch tatsächlich unklar bleibt, ob er die Abholungseinladung für jene Postsendung erhalten hat. Aus dem ihm am 18. März 2011 übergebenen Brief konnte er nicht ersehen, dass es sich dabei bereits um die zweite Sendung mit gleichem Inhalt handelte, das Verwaltungsgericht also bereits zuvor versucht hatte, ihm den Entscheid zuzustellen. Lediglich auf der Empfangsbestätigung, welche von ihm unterschrieben wurde und alsdann postwendend an den Absender zurückging, findet sich ein entsprechender Vermerk ("II. Zustellung"). Der Einwand des Beschwerdeführers, die Empfangsbestätigung eigne sich nicht, um solche rechtserheblichen Tatsachen festzuhalten, ist berechtigt. Da der Beschwerdeführer der empfangenen Sendung selber nicht entnehmen konnte, dass es sich dabei um den zweiten Zustellversuch handelte, ist davon auszugehen, dass erst die effektive Zustellung vom 18. März 2011 fristauslösend war, womit die Beschwerde (Postaufgabedatum: 2. Mai 2011) - unter Berücksichtigung des Fristenstillstandes gemäss Art. 46 BGG - rechtzeitig erhoben worden ist.</w:t>
      </w:r>
    </w:p>
    <w:p>
      <w:r>
        <w:rPr>
          <w:b/>
        </w:rPr>
        <w:t>E. 1.2</w:t>
      </w:r>
    </w:p>
    <w:p>
      <w:r>
        <w:t>Der angefochtene Entscheid betrifft ein öffentlich-rechtliches Arbeitsverhältnis, d.h. eine öffentlich-rechtliche Angelegenheit im Sinn von Art. 82 lit. a BGG . Der Streitwert bestimmt sich nach den Begehren, die vor der Instanz streitig sind, bei der die Hauptsache hängig ist ( Art. 51 Abs. 1 lit. c BGG ). In der Hauptsache geht es um die Kündigung des Arbeitsverhältnisses und die Lohnzahlungspflicht ab April 2007. Es handelt sich folglich um eine vermögensrechtliche Streitigkeit, weshalb der Ausschlussgrund nach Art. 83 lit. g BGG nicht vorliegt. Die Streitwertgrenze von Fr. 15'000.- ( Art. 85 Abs. 1 lit. b BGG ) ist angesichts der in der Hauptsache hängigen Begehren überschritten.</w:t>
      </w:r>
    </w:p>
    <w:p>
      <w:r>
        <w:rPr>
          <w:b/>
        </w:rPr>
        <w:t>E. 1.3</w:t>
      </w:r>
    </w:p>
    <w:p>
      <w:r>
        <w:t>Bei der Eingabe des Beschwerdeführers sind die Voraussetzungen nach Art. 82 ff. BGG für die Beschwerde in öffentlich-rechtlichen Angelegenheiten an sich erfüllt, weshalb sie als solche - und nicht als (subsidiäre) Verfassungsbeschwerde - entgegenzunehmen ist ( Art. 113 BGG ).</w:t>
      </w:r>
    </w:p>
    <w:p>
      <w:r>
        <w:rPr>
          <w:b/>
        </w:rPr>
        <w:t>E. 1.4</w:t>
      </w:r>
    </w:p>
    <w:p>
      <w:r>
        <w:t>Die Beschwerde umfasst nebst Anträgen in der Sache selbst und prozessualer Natur auch Feststellungsanträge. Diese sind gegenüber rechtsgestaltenden oder leistungsverpflichtenden Rechtsbegehren grundsätzlich subsidiär (vgl. BGE 114 II 253 E. 2a S. 255; Urteil 2C.5/1999 vom 3. Juli 2003 E. 4.2). Auf diese ist daher nicht einzutreten. Die darin aufgeworfenen Rechtsfragen sind indessen in die Prüfung der Rechtmässigkeit des vorinstanzlichen Entscheids eingeschlossen (in diesem Sinne bereits etwa die Urteile 8C_351/2010 vom 12. November 2010 und 8C_201/2009 vom 11. September 2009).</w:t>
      </w:r>
    </w:p>
    <w:p>
      <w:r>
        <w:rPr>
          <w:b/>
        </w:rPr>
        <w:t>E. 2</w:t>
      </w:r>
    </w:p>
    <w:p>
      <w:r>
        <w:t>Soweit der Beschwerdeführer beantragt, es seien ihm "im Sinne des Akteneinsichtsrechts" die von der Gegenpartei eingereichten Akten und Eingaben zur Einsicht zuzustellen und es sei ihm gegebenenfalls Frist zur Einreichung einer Stellungnahme anzusetzen, erübrigen sich Weiterungen, da die Hochschule X.________ im Verfahren vor Bundesgericht keine neuen Unterlagen einreichen liess, die Vorinstanz auf eine Stellungnahme verzichtet hat und ihm die Vernehmlassungsantwort der Gegenpartei vom 23. September 2011 zugesandt worden ist. Er hat die Gelegenheit wahrgenommen, sich dazu in einer weiteren Eingabe vom 10. Oktober 2011 zu äussern.</w:t>
      </w:r>
    </w:p>
    <w:p>
      <w:r>
        <w:rPr>
          <w:b/>
        </w:rPr>
        <w:t>E. 3.1</w:t>
      </w:r>
    </w:p>
    <w:p>
      <w:r>
        <w:t>Der Beschwerdeführer macht ferner geltend, sein in Art. 30 BV verankerter Anspruch auf einen unabhängigen Richter sei verletzt worden, indem der Abteilungspräsident J.________ und der Verwaltungsrichter L.________, welche im kantonalen Beschwerdeverfahren am angefochtenen Entscheid mitgewirkt haben, bereits beim Entscheid des Verwaltungsgerichts vom 14. Mai 2008 in gleicher Funktion dabei und somit vorbefasst gewesen seien.</w:t>
      </w:r>
    </w:p>
    <w:p>
      <w:r>
        <w:rPr>
          <w:b/>
        </w:rPr>
        <w:t>E. 3.2</w:t>
      </w:r>
    </w:p>
    <w:p>
      <w:r>
        <w:t>Nach der in Art. 30 Abs. 1 BV und in Art. 6 Ziff. 1 EMRK enthaltenen Garantie des verfassungsmässigen Richters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zu begründen vermögen, so ist die Garantie verletzt. Eine gewisse Besorgnis der Voreingenommenheit und damit Misstrauen in das Gericht kann bei den Parteien immer dann entstehen, wenn sich einzelne Gerichtspersonen in einem früheren Verfahren mit der konkreten Streitsache schon einmal befasst haben. In einem solchen Fall der so genannten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vielmehr in jedem Einzelfall zu untersuchen, ob die konkret zu entscheidende Rechtsfrage trotz Vorbefassung als offen erscheint ( BGE 131 I 113 E. 3.4 S. 116 f. mit Hinweisen). Rechtsprechungsgemäss stellt das Mitwirken an einem früheren Entscheid regelmässig keinen Ausstandsgrund dar, sofern nicht weitere konkrete, für die Befangenheit sprechende Gesichtspunkte hinzukommen ( BGE 131 I 113 E. 3.7 S. 120 ff.; Urteile 8C_543/2011 vom 25. August 2011 E. 2.4 und 8C_518/2010 vom 24. Januar 2011 E. 3.1). Vorliegend finden sich keine Anhaltspunkte für eine Befangenheit der genannten Verwaltungsrichter. Entgegen der Ansicht des Beschwerdeführers lässt sich aus dem Umstand, dass die kantonalen Gerichtspersonen seine Meinung zum massgebenden Sachverhalt und zu den daraus zu ziehenden rechtlichen Schlüssen nicht teilen, nicht bereits eine Befangenheit ableiten.</w:t>
      </w:r>
    </w:p>
    <w:p>
      <w:r>
        <w:rPr>
          <w:b/>
        </w:rPr>
        <w:t>E. 4</w:t>
      </w:r>
    </w:p>
    <w:p>
      <w:r>
        <w:t>Wie schon vor dem kantonalen Gericht verlangt der Beschwerdeführer auch letztinstanzlich, die Eingaben der Rechtsvertreterin der Beschwerdegegnerin seien aus dem Recht zu weisen, da sie von der Hochschule Y.________ - und damit nicht gehörig - bevollmächtigt sei. Das Verwaltungsgericht hat sowohl in seinem Entscheid vom 14. Mai 2008 (bestätigt durch das Urteil des Bundesgerichts 1C_296 + 310/2008 vom 5. März 2009) als auch im vorliegend angefochtenen Gerichtsentscheid dargelegt, dass die Hochschule X.________ Universalsukzedentin der Hochschule Y.________ sei und damit die Vollmacht der Hochschule Y.________ ohne Weiteres auch eine solche der Hochschule X.________ sei. Es besteht auch in diesem Verfahren kein Grund, die Gültigkeit des Vertretungsverhältnisses anzuzweifeln.</w:t>
      </w:r>
    </w:p>
    <w:p>
      <w:r>
        <w:rPr>
          <w:b/>
        </w:rPr>
        <w:t>E. 5.1</w:t>
      </w:r>
    </w:p>
    <w:p>
      <w:r>
        <w:t>Das Verwaltungsgericht legt ausführlich dar, weshalb der formelle Beschluss der Rekurskommission über die von der Beschwerdegegnerin bereits eingeleitete, bisher aber noch nicht durchgeführte vertrauensärztliche Untersuchung nicht zu beanstanden ist. Die Hochschule X.________ ist Universalsukzedentin der Hochschule Y.________ (E. 4 hiervor). Daher ist der Einwand des Beschwerdeführers, es habe zwischen ihm und der Hochschule X.________ kein Anstellungsverhältnis bestanden, welches letztere legitimieren könnte, einen Antrag auf Einleitung einer vertrauensärztlichen Untersuchung zu stellen, nicht stichhaltig. Seine weiteren Vorbringen erschöpfen sich in appellatorischer Kritik am angefochtenen Entscheid, auf die nicht weiter einzugehen ist.</w:t>
      </w:r>
    </w:p>
    <w:p>
      <w:r>
        <w:rPr>
          <w:b/>
        </w:rPr>
        <w:t>E. 5.2</w:t>
      </w:r>
    </w:p>
    <w:p>
      <w:r>
        <w:t>Das Ausstandsbegehren betreffend einzelner Mitglieder der Rekurskommission wird letztinstanzlich nicht ausreichend begründet. Demzufolge ist darauf nicht einzutreten.</w:t>
      </w:r>
    </w:p>
    <w:p>
      <w:r>
        <w:rPr>
          <w:b/>
        </w:rPr>
        <w:t>E. 5.3</w:t>
      </w:r>
    </w:p>
    <w:p>
      <w:r>
        <w:t>Über die Kündigung des Arbeitsverhältnisses und die Lohnfortzahlungspflicht hat die Rekurskommission noch nicht entschieden. Soweit sich die Beschwerde auf diese und die übrigen damit zusammenhängenden Streitpunkte, so unter anderem die geltend gemachte Genugtuung und die beantragte Pönale, richtet, kann darauf nicht eingetreten werden.</w:t>
      </w:r>
    </w:p>
    <w:p>
      <w:r>
        <w:rPr>
          <w:b/>
        </w:rPr>
        <w:t>E. 6</w:t>
      </w:r>
    </w:p>
    <w:p>
      <w:r>
        <w:t>Das Verfahren ist kostenpflichtig. Als unterliegende Partei hat der Beschwerdeführer die Gerichtskosten zu tragen ( Art. 66 Abs. 1 BGG ). Die Beschwerdegegnerin hat keinen Anspruch auf eine Parteientschädigung, da sie in ihrem amtlichen Wirkungskreis tätig war ( Art. 68 Abs. 3 BGG ; Urteil 8C_1033/2010 vom 10. Juni 2011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