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8C_337/2009 vom 13. Mai 2009</w:t>
      </w:r>
    </w:p>
    <w:p>
      <w:r>
        <w:t>Bundesgericht, 2009-05-13, DE</w:t>
      </w:r>
    </w:p>
    <w:p>
      <w:r>
        <w:rPr>
          <w:b/>
        </w:rPr>
        <w:t xml:space="preserve">Quelle: </w:t>
      </w:r>
      <w:r>
        <w:t>https://mcp.opencaselaw.ch/entscheid/bger_8C_337_2009</w:t>
      </w:r>
    </w:p>
    <w:p>
      <w:r>
        <w:t>FR: TF 8C_337/2009 du 13 mai 2009</w:t>
      </w:r>
    </w:p>
    <w:p>
      <w:r>
        <w:t>IT: TF 8C_337/2009 del 13 maggio 2009</w:t>
      </w:r>
    </w:p>
    <w:p>
      <w:pPr>
        <w:pStyle w:val="Heading2"/>
      </w:pPr>
      <w:r>
        <w:t>Volltext</w:t>
      </w:r>
    </w:p>
    <w:p>
      <w:r>
        <w:t>Bundesgericht</w:t>
      </w:r>
    </w:p>
    <w:p>
      <w:r>
        <w:t>Tribunal fédéral</w:t>
      </w:r>
    </w:p>
    <w:p>
      <w:r>
        <w:t>Tribunale federale</w:t>
      </w:r>
    </w:p>
    <w:p>
      <w:r>
        <w:t>Tribunal federal</w:t>
      </w:r>
    </w:p>
    <w:p>
      <w:r>
        <w:t>{T 0/2}</w:t>
      </w:r>
    </w:p>
    <w:p>
      <w:r>
        <w:t>8C_337/2009</w:t>
      </w:r>
    </w:p>
    <w:p>
      <w:r>
        <w:t>Urteil vom 13. Mai 2009</w:t>
      </w:r>
    </w:p>
    <w:p>
      <w:r>
        <w:t>I. sozialrechtliche Abteilung</w:t>
      </w:r>
    </w:p>
    <w:p>
      <w:r>
        <w:t>Besetzung</w:t>
      </w:r>
    </w:p>
    <w:p>
      <w:r>
        <w:t>Bundesrichter Ursprung, Präsident,</w:t>
      </w:r>
    </w:p>
    <w:p>
      <w:r>
        <w:t>Gerichtsschreiber Grünvogel.</w:t>
      </w:r>
    </w:p>
    <w:p>
      <w:r>
        <w:t>Parteien</w:t>
      </w:r>
    </w:p>
    <w:p>
      <w:r>
        <w:t>B.________, Beschwerdeführer,</w:t>
      </w:r>
    </w:p>
    <w:p>
      <w:r>
        <w:t>gegen</w:t>
      </w:r>
    </w:p>
    <w:p>
      <w:r>
        <w:t>Ausgleichskasse des Kantons Zürich, Röntgenstrasse 17, 8005 Zürich,</w:t>
      </w:r>
    </w:p>
    <w:p>
      <w:r>
        <w:t>Beschwerdegegnerin.</w:t>
      </w:r>
    </w:p>
    <w:p>
      <w:r>
        <w:t>Gegenstand</w:t>
      </w:r>
    </w:p>
    <w:p>
      <w:r>
        <w:t>Invalidenversicherung,</w:t>
      </w:r>
    </w:p>
    <w:p>
      <w:r>
        <w:t>Beschwerde gegen den Entscheid des Sozialversicherungsgerichts des Kantons Zürich</w:t>
      </w:r>
    </w:p>
    <w:p>
      <w:r>
        <w:t>vom 27. Februar 2009.</w:t>
      </w:r>
    </w:p>
    <w:p>
      <w:r>
        <w:t>Nach Einsicht</w:t>
      </w:r>
    </w:p>
    <w:p>
      <w:r>
        <w:t>in die Beschwerde vom 16. April 2009 (Poststempel) gegen den Entscheid des Sozialversicherungsgerichts des Kantons Zürich vom 27. Februar 2009,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unter Verweis auf Gesetz und Rechtsprechung dargelegt hat, für einen Erlass der Rückerstattungsforderung reiche es nicht aus, wenn die Rückforderung eine grosse finanzielle Härte beim Versicherten zur Folge habe, sondern es bedürfte darüber hinaus eines gutgläubigen Leistungsempfangs, welcher dem Beschwerdeführer aber wegen grobfahrlässigen Verhaltes abzusprechen sei,</w:t>
      </w:r>
    </w:p>
    <w:p>
      <w:r>
        <w:t>dass der Rechtsmitteleinleger sich damit nicht ansatzweise auseinandersetzt, sondern auf seine finanziellen Verhältnisse verweist, was aber als Beschwerdebegründung nicht genügt, ist doch damit weder aufgezeigt, inwiefern die Sachverhaltsfeststellung im Sinne von Art. 97 Abs. 1 BGG unzutreffend oder die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13. Mai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