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337/2007 vom 19. Februar 2008</w:t>
      </w:r>
    </w:p>
    <w:p>
      <w:r>
        <w:t>Bundesgericht, 2008-02-19, DE</w:t>
      </w:r>
    </w:p>
    <w:p>
      <w:r>
        <w:rPr>
          <w:b/>
        </w:rPr>
        <w:t xml:space="preserve">Quelle: </w:t>
      </w:r>
      <w:r>
        <w:t>https://mcp.opencaselaw.ch/entscheid/bger_8C_337_2007</w:t>
      </w:r>
    </w:p>
    <w:p>
      <w:r>
        <w:t>FR: TF 8C 337/2007 du 19 février 2008</w:t>
      </w:r>
    </w:p>
    <w:p>
      <w:r>
        <w:t>IT: TF 8C 337/2007 del 19 febbraio 2008</w:t>
      </w:r>
    </w:p>
    <w:p>
      <w:pPr>
        <w:pStyle w:val="Heading2"/>
      </w:pPr>
      <w:r>
        <w:t>Regeste</w:t>
      </w:r>
    </w:p>
    <w:p>
      <w:r>
        <w:t>Unfallversicherung | Unfallversicherung</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Insofern der Beschwerdeführer beantragt, die Entschädigung des amtlichen Rechtsanwaltes für das vorinstanzliche Verfahren sei auf Fr. 1'950.- zu erhöhen, ist mangels Beschwerdelegitimation nicht auf die Beschwerde einzutreten ( BGE 110 V 360 E. 2 S. 363; ARV 1997 Nr. 27 S. 151 E. 4b [C 232/93]).</w:t>
      </w:r>
    </w:p>
    <w:p>
      <w:r>
        <w:rPr>
          <w:b/>
        </w:rPr>
        <w:t>E. 2.2</w:t>
      </w:r>
    </w:p>
    <w:p>
      <w:r>
        <w:t>Gemäss Art. 42 Abs. 2 BGG ist in der Beschwerde in gedrängter Form darzulegen, inwiefern der angefochtene Akt Recht verletzt. Insoweit sich das kantonale Gericht mit den erstinstanzlichen Vorbringen befasst hat, die oberinstanzliche Beschwerde indessen keine Auseinandersetzung mit dem vorinstanzlichen Entscheid enthält, sondern wortwörtlich mit der vor dem kantonalen Gericht erhobenen Beschwerde übereinstimmt, ist auf sie nicht einzutreten.</w:t>
      </w:r>
    </w:p>
    <w:p>
      <w:r>
        <w:rPr>
          <w:b/>
        </w:rPr>
        <w:t>E. 2.3</w:t>
      </w:r>
    </w:p>
    <w:p>
      <w:r>
        <w:t>Einzutreten ist auf die Beschwerde, so weit in Auseinandersetzung mit dem vorinstanzlichen Entscheid vorgebracht wird, das kantonale Gericht habe schweizerisches Recht im Sinne von Art. 95 BGG verletzt oder den rechtserheblichen Sachverhalt unrichtig oder unvollständig festgestellt.</w:t>
      </w:r>
    </w:p>
    <w:p>
      <w:r>
        <w:rPr>
          <w:b/>
        </w:rPr>
        <w:t>E. 3</w:t>
      </w:r>
    </w:p>
    <w:p>
      <w:r>
        <w:t>Das kantonale Gericht hat die gesetzlichen Bestimmungen zum Anspruch auf eine Invalidenrente der Unfallversicherung ( Art. 18 UVG ) und zur Bemessung des Invaliditätsgrades aufgrund eines Einkommensvergleiches ( Art. 16 ATSG ) zutreffend dargelegt. Darauf wird verwiesen. Wie die Vorinstanz zutreffend erwogen hat, hängt die Frage, ob und in welchem Ausmass Tabellenlöhne herabzusetzen sind,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zu begrenzen ist ( BGE 129 V 472 E. 4.2.3 S. 481, 126 V 75 E. 5b/bb S. 80).</w:t>
      </w:r>
    </w:p>
    <w:p>
      <w:r>
        <w:rPr>
          <w:b/>
        </w:rPr>
        <w:t>E. 4</w:t>
      </w:r>
    </w:p>
    <w:p>
      <w:r>
        <w:t>Streitig und zu prüfen ist der Invaliditätsgrad. Dabei ist unbestritten, dass für die Bemessung des Invalideneinkommen von den Tabellenlöhnen der Schweizerischen Lohnstrukturerhebung (LSE) auszugehen ist ( BGE 129 V 472 E. 4.2.1 S. 475).</w:t>
      </w:r>
    </w:p>
    <w:p>
      <w:r>
        <w:rPr>
          <w:b/>
        </w:rPr>
        <w:t>E. 4.1</w:t>
      </w:r>
    </w:p>
    <w:p>
      <w:r>
        <w:t>Die Beschwerdegegnerin ging in ihrem Einspracheentscheid vom 13. Februar 2006 zur Bemessung des Invaliditätsgrades vom Gutachten des Dr. med. B.________ (Chirurgie FMH, speziell Handchirurgie), vom 11. März 2005 aus. Gemäss diesem Gutachten kann der Versicherte zwar ganztags an einem angepassten Arbeitsplatz tätig sein, dabei aber nur ein Rendement von 2/3 erzielen. Gestützt auf diese fachärztlichen Angaben bemass die SUVA den Invaliditätsgrad bei einem Valideneinkommen von Fr. 62'704.- und einem Invalideneinkommen von Fr. 38'544.- auf 39 %.</w:t>
      </w:r>
    </w:p>
    <w:p>
      <w:r>
        <w:rPr>
          <w:b/>
        </w:rPr>
        <w:t>E. 4.2</w:t>
      </w:r>
    </w:p>
    <w:p>
      <w:r>
        <w:t>Was der Beschwerdeführer gegen diese Invaliditätsbemessung vorbringt, vermag nichts zu ändern. Die unterschiedlichen Einschätzungen des Leistungsprofils durch Dr. med. B.________ und durch den Kreisarzt Dr. med. L.________, beruhen darauf, dass der Gutachter im Gegensatz zum Kreisarzt die leidensbedingte Einschränkung in seine Einschätzung bereits miteinbezieht. Geht man, wie vom Beschwerdeführer verlangt, für die Bemessung der Invalidität vom Gutachten des Dr. med. B.________ aus, so ist unter dem Titel "leidensbedingte Einschränkung" kein Abzug vom Tabellenlohn vorzunehmen. Wie Vorinstanz und Verwaltung zutreffend ausgeführt haben, rechtfertigen zudem vorliegend weder die Merkmale Alter, Dienstjahre, Nationalität/Aufenthaltskategorie, noch der Beschäftigungsgrad des Versicherten einen Abzug vom Tabellenlohn. Somit ist der von der Beschwerdegegnerin auf 39 % bemessene Invaliditätsgrad nicht zu beanstanden.</w:t>
      </w:r>
    </w:p>
    <w:p>
      <w:r>
        <w:rPr>
          <w:b/>
        </w:rPr>
        <w:t>E. 4.3</w:t>
      </w:r>
    </w:p>
    <w:p>
      <w:r>
        <w:t>Wie die Vorinstanz zutreffend erwogen hat, würde auch dann, wenn von der Einschätzung des Kreisarztes ausgegangen und dem Beschwerdeführer unter dem Titel "leidensbedingte Einschränkung" ein angemessener Abzug vom Tabellenlohn zugestanden würde, kein höherer Invaliditätsgrad als 39 % resultieren.</w:t>
      </w:r>
    </w:p>
    <w:p>
      <w:r>
        <w:rPr>
          <w:b/>
        </w:rPr>
        <w:t>E. 5</w:t>
      </w:r>
    </w:p>
    <w:p>
      <w:r>
        <w:t>Da die Beschwerde offensichtlich unbegründet ist, wird sie im Verfahren nach Art. 109 Abs. 2 lit. a BGG erledigt. Bei diesem Verfahrensausgang sind die Gerichtskosten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