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336/2016 vom 3. August 2016</w:t>
      </w:r>
    </w:p>
    <w:p>
      <w:r>
        <w:t>Bundesgericht, 2016-08-03, DE</w:t>
      </w:r>
    </w:p>
    <w:p>
      <w:r>
        <w:rPr>
          <w:b/>
        </w:rPr>
        <w:t xml:space="preserve">Quelle: </w:t>
      </w:r>
      <w:r>
        <w:t>https://mcp.opencaselaw.ch/entscheid/bger_8C_336_2016</w:t>
      </w:r>
    </w:p>
    <w:p>
      <w:r>
        <w:t>FR: TF 8C 336/2016 du 3 août 2016</w:t>
      </w:r>
    </w:p>
    <w:p>
      <w:r>
        <w:t>IT: TF 8C 336/2016 del 3 agosto 2016</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für die Zeit ab 1. Juni 2010 einen Rentenanspruch des Versicherten sowie einen Anspruch auf Umschulung und Berufsberatung verneinte.</w:t>
      </w:r>
    </w:p>
    <w:p>
      <w:r>
        <w:rPr>
          <w:b/>
        </w:rPr>
        <w:t>E. 3</w:t>
      </w:r>
    </w:p>
    <w:p>
      <w:r>
        <w:t>Das kantonale Gericht hat in umfassender Würdigung der medizinischen Akten, insbesondere aber gestützt auf das Gerichtsgutachten des Dr. med. C.________ für das Bundesgericht grundsätzlich verbindlich festgestellt, dass der Versicherte im letztinstanzlich noch streitigen Zeitraum ab 1. Juni 2010 in einer angepassten Tätigkeit zu 100 % arbeitsfähig ist. Was der Beschwerdeführer gegen diese Feststellung vorbringt, vermag sie nicht als bundesrechtswidrig erscheinen zu lassen. Bei Vorliegen eines Gerichtsgutachtens darf das Gericht rechtsprechungsgemäss "nicht ohne zwingende Gründe" von den Einschätzungen des medizinischen Experten abweichen ( BGE 135 V 465 E. 4.4 S. 469). Entgegen den Ausführungen des Versicherten ist das Gerichtsgutachten nicht widersprüchlich; vielmehr zeigt der Experte nachvollziehbar auf, dass zwar eine gewisse psychiatrische Symptomatik vorhanden ist, diese jedoch nach seiner Einschätzung nicht eine Intensität aufweist, bei der von einer psychiatrischen Erkrankung auszugehen wäre. Da der Gutachter somit keine psychiatrische Diagnose stellt, braucht auch der vom Beschwerdeführer diskutierten Frage nicht nachgegangen werden, ob die Diagnosen einer mittelschweren depressiven Episode und einer generalisierten Angststörung gleichzeitig gestellt werden dürfen oder nicht. Von einer Verletzung des Gehörsanspruchs kann keine Rede sein, zumal sich die Vorinstanz nicht mit allen Vorbringen einlässlich auseinanderzusetzen und diese im Einzelnen zu widerlegen hatte (vgl. BGE 142 II 49 E. 9.2 S. 65). Im Übrigen obliegt es nicht der Sozialversicherungsgerichtsbarkeit, medizinisch-wissenschaftliche Kontroversen zu entscheiden, sondern lediglich im Einzelfall die Leistungsansprüche aufgrund der im konkreten Fall gegebenen Verhältnisse und unter Berücksichtigung der medizinischen Lehrmeinungen festzusetzen (vgl. auch BGE 134 V 231 E. 5.3 S. 234; Urteil 8C_874/2011 vom 20. Januar 2012 E. 5.2). Da sich im Weiteren auch aus dem vom Versicherten im kantonalen Verfahren neu aufgelegten Bericht des Dr. med. D.________, Psychiatrie und Psychotherapie FMH, vom 29. Dezember 2015 keine zwingenden Gründe ergeben, von den Einschätzungen des Gerichtsgutachters abzuweichen, durfte die Vorinstanz auf diese abstellen. Damit erübrigen sich auch die vom Beschwerdeführer beantragten weiteren Abklärungen zu seinem Gesundheitszustand.</w:t>
      </w:r>
    </w:p>
    <w:p>
      <w:r>
        <w:rPr>
          <w:b/>
        </w:rPr>
        <w:t>E. 4</w:t>
      </w:r>
    </w:p>
    <w:p>
      <w:r>
        <w:t>Durfte die Vorinstanz somit, ohne Bundesrecht zu verletzen, für den vorliegend streitigen Zeitraum von einer 100%igen Arbeitsfähigkeit des Versicherten in einer angepassten Tätigkeit ausgehen, so ist - bei unbestritten gebliebener Invaliditätsbemessung - die Verneinung eines Rentenanspruchs für die Zeit ab 1. Juni 2010 nicht zu beanstanden. Da die Beschwerde im Übrigen zu den ebenfalls streitbetroffenen beruflichen Massnahmen keine spezifischen Vorbringen enthält, ist sie ohne weiteres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