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8C_334/2014 vom 21. Juli 2014</w:t>
      </w:r>
    </w:p>
    <w:p>
      <w:r>
        <w:t>Bundesgericht, 2014-07-21, DE</w:t>
      </w:r>
    </w:p>
    <w:p>
      <w:r>
        <w:rPr>
          <w:b/>
        </w:rPr>
        <w:t xml:space="preserve">Quelle: </w:t>
      </w:r>
      <w:r>
        <w:t>https://mcp.opencaselaw.ch/entscheid/bger_8C_334_2014</w:t>
      </w:r>
    </w:p>
    <w:p>
      <w:r>
        <w:t>FR: TF 8C_334/2014 du 21 juillet 2014</w:t>
      </w:r>
    </w:p>
    <w:p>
      <w:r>
        <w:t>IT: TF 8C_334/2014 del 21 luglio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Vorliegen dieser Voraussetzungen hat die beschwerdeführende Partei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Diese Grundsätze gelten auch in Bezug auf die konkrete Beweiswürdigung (Urteil 9C_431/2013 vom 12. August 2013 E. 1.2.1).</w:t>
      </w:r>
    </w:p>
    <w:p>
      <w:r>
        <w:rPr>
          <w:b/>
        </w:rPr>
        <w:t>E. 1.2</w:t>
      </w:r>
    </w:p>
    <w:p>
      <w:r>
        <w:t>Das Bundesgericht wendet das Recht von Amtes wegen an ( Art. 106 Abs. 1 BGG ; vgl. dazu BGE 132 II 257 E. 2.5 S. 262).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unter sachverhaltsmässig eingeschränktem Blickwinkel zu prüfen ist, ob die Vorinstanz die am 30. Januar 2012 durch die Beschwerdegegnerin verfügte Rentenablehnung zu Recht bestätigt hat.</w:t>
      </w:r>
    </w:p>
    <w:p>
      <w:r>
        <w:t>Die für die Beurteilung relevanten gesetzlichen Grundlagen und die entscheidwesentliche Rechtsprechung wurden im kantonalen Entscheid zutreffend dargelegt. Es betrifft dies namentlich die Bestimmungen und Grundsätze zum Begriff der Invalidität ( Art. 4 Abs. 1 IVG in Verbindung mit Art. 8 Abs. 1 ATSG ), zum Umfang des Rentenanspruchs ( Art. 28 Abs. 2 IVG ) und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und Art. 27</w:t>
      </w:r>
    </w:p>
    <w:p>
      <w:r>
        <w:t>bis IVV in Verbindung mit Art. 28a Abs. 1 und 2 IVG , Art. 16 ATSG und Art. 27 IVV ] BGE 130 V 393 E. 3.3 S. 395 f.; 125 V 146 E. 2c S. 150; vgl. ferner BGE 134 V 9 ; 133 V 477 E. 6.3 S. 486 f. mit Hinweisen, 504 E. 3.3 S. 507 f.; 130 V 97 E. 3. S. 98 ff.). Darauf wird verwiesen.</w:t>
      </w:r>
    </w:p>
    <w:p>
      <w:r>
        <w:rPr>
          <w:b/>
        </w:rPr>
        <w:t>E. 3</w:t>
      </w:r>
    </w:p>
    <w:p>
      <w:r>
        <w:t>Es besteht unter den Parteien Uneinigkeit darüber, ob die Aktenlage eine abschliessende Beurteilung der Auswirkungen der somatischen Beschwerden auf die Arbeitsfähigkeit erlaubt.</w:t>
      </w:r>
    </w:p>
    <w:p>
      <w:r>
        <w:rPr>
          <w:b/>
        </w:rPr>
        <w:t>E. 3.1</w:t>
      </w:r>
    </w:p>
    <w:p>
      <w:r>
        <w:t>Die Vorinstanz erachtete die medizinische Aktenlage (somatische Fachdisziplinen des Gutachtens der Gutachterstelle E.________ vom 14. Oktober 2010, Bericht des Dr. med. H.________, Facharzt FMH für Neurologie, vom 20. Juli 2010 und des Hausarztes Dr. med. I.________ vom 17. November 2009) als schlüssig. Sie gelangte im Wesentlichen gestützt auf das Gutachten der Gutachterstelle E.________ zum Ergebnis, eine diskrete, beginnende Polyneuropathie bei metabolischem Syndrom sei zwar nicht auszuschliessen, jedoch würden die vorhandenen objektiven Befunde die Arbeitsfähigkeit für eine körperlich leichte bis mittelschwere Tätigkeit nicht einschränken. Für die angestammte Tätigkeit als Raumpflegerin wie auch für eine andere körperlich leichte bis mittelschwere, wechselbelastende Tätigkeit bestehe aus somatischer Sicht spätestens seit Ende Dezember 2009 eine uneingeschränkte Arbeitsfähigkeit. Auch im Haushalt sei die Arbeitsfähigkeit deswegen nicht eingeschränkt.</w:t>
      </w:r>
    </w:p>
    <w:p>
      <w:r>
        <w:rPr>
          <w:b/>
        </w:rPr>
        <w:t>E. 3.2</w:t>
      </w:r>
    </w:p>
    <w:p>
      <w:r>
        <w:t>Die Beschwerdeführer lassen vorbringen, weder die Gutachter der Gutachterstelle E.________ noch die Vorinstanz könnten nachvollziehbar begründen, weshalb die von Dr. med. H.________ erhobene Diagnose einer vermutlich diabetischen Polyneuropathie in neurologischer Hinsicht keine Auswirkungen auf die Arbeitsfähigkeit habe. Das kantonale Gericht hätte daher diesbezüglich ergänzende Abklärungen veranlassen müssen.</w:t>
      </w:r>
    </w:p>
    <w:p>
      <w:r>
        <w:rPr>
          <w:b/>
        </w:rPr>
        <w:t>E. 3.3</w:t>
      </w:r>
    </w:p>
    <w:p>
      <w:r>
        <w:t>Die Gutachter der Gutachterstelle E.________ haben die von Dr. med. H.________ erhobenen Befunde gewürdigt und ihre Schlussfolgerungen nachvollziehbar begründet. Aus den Akten ergibt sich nichts, das geeignet wäre, den Beweiswert der Entscheidungsgrundlagen in Zweifel zu ziehen. Das vorinstanzliche Abstellen auf die orthopädisch/internistische Beurteilung der Gutachter der Gutachterstelle E.________ kann jedenfalls nicht als offensichtlich unrichtig bezeichnet werden. Das Bundesgericht ist daher an die betreffenden Feststellungen gebunden. Unter den gegebenen Umständen ist der Verzicht der Vorinstanz auf weitere Abklärungen als Ergebnis pflichtgemässer antizipierter Beweiswürdigung von Bundesrechts wegen nicht zu beanstanden und der Vorwurf einer unrichtigen und unvollständigen Feststellung des Sachverhalts somit unbegründet.</w:t>
      </w:r>
    </w:p>
    <w:p>
      <w:r>
        <w:rPr>
          <w:b/>
        </w:rPr>
        <w:t>E. 4</w:t>
      </w:r>
    </w:p>
    <w:p>
      <w:r>
        <w:t>Bezüglich der psychischen Beschwerden stellte die Vorinstanz aufgrund von Widersprüchen in der psychopathologischen Befunderhebung des Gutachtens der Gutachterstelle E.________ - in Übereinstimmung mit Dr. med. J.________, Fachärztin FMH Psychiatrie und Psychotherapie, Ärztin des Regionalen Ärztlichen Dienstes (RAD) der IV-Stelle - nicht auf dieses, sondern auf die Berichte des behandelnden Psychiaters med. pract. F.________ ab. Dieser diagnostizierte am 7. Mai 2010 eine mittelgradige depressive Episode (larviert, agitiert; ICD-10:F32.1) bei Verdacht auf eine rezidivierende depressive Störung (ICD-10:F33.1) sowie eine generalisierte Angststörung (ICD-10:F41.1) und attestierte eine 50-prozentige Arbeitsunfähigkeit in der bisherigen Tätigkeit. Den Haushalt könne die Versicherte nach eigenen Angaben allein bzw. mit Unterstützung durch den Ehemann erledigen. Im Verlaufsbericht vom 8. Mai 2011 hielt med. pract. F.________ fest, es liege eine bipolare Störung, aktuell gemischte Episode (ICD-10:F31.6) vor. Differenzialdiagnostisch müsse an eine schizoaffektive Störung gedacht werden. Anamnestisch bestehe weiterhin die Diagnose einer generalisierten Angststörung (ICD-10:F41.1). Bei multipler Symptomatik und Hinweisen auf einen langjährigen Verlauf sei auch eine komorbide Persönlichkeitsstörung mit histrionischen und impulsiven Zügen nicht auszuschliessen (ICD-10:F61.0). Aus rein psychiatrischer Sicht sei von einer Arbeitsunfähigkeit von 50 bis 70 Prozent auszugehen. Bei gutem Ansprechen auf die Behandlung und Fortsetzung der Tendenz zur Remission könne mittelfristig eine stabile Arbeitsfähigkeit von 50 Prozent erreicht werden. In Anbetracht des tatsächlich ausgeübten Arbeitspensums von etwas über 50 Prozent ging das kantonale Gericht von einer 50-prozentigen Arbeitsfähigkeit in der als angepasst zu betrachtenden angestammten Tätigkeit aus. Dieser Punkt blieb letztinstanzlich unbestritten, so dass es bei der vorinstanzlichen Feststellung sein Bewenden hat.</w:t>
      </w:r>
    </w:p>
    <w:p>
      <w:r>
        <w:rPr>
          <w:b/>
        </w:rPr>
        <w:t>E. 5.1</w:t>
      </w:r>
    </w:p>
    <w:p>
      <w:r>
        <w:t>Gerügt wird hingegen die vorinstanzliche Annahme einer fehlenden behinderungsbedingten Einschränkung im Teilbereich der Haushaltführung aus psychischen Gründen. Grundlage dafür bildeten die Schlussfolgerungen des von einer Haushaltsexpertin des IV-Abklärungsdienstes verfassten Abklärungsberichts Haushalt vom 20. September 2011.</w:t>
      </w:r>
    </w:p>
    <w:p>
      <w:r>
        <w:rPr>
          <w:b/>
        </w:rPr>
        <w:t>E. 5.2</w:t>
      </w:r>
    </w:p>
    <w:p>
      <w:r>
        <w:t>Die von einer qualifizierten Person durchgeführte Abklärung vor Ort (nach Massgabe des Art. 69 Abs. 2 IVV ) stellt für gewöhnlich die geeignete und genügende Vorkehr zur Bestimmung der gesundheitlichen Einschränkung im Haushalt dar (SVR 2012 IV Nr. 19 S. 86, 9C_201/2011 E. 2).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I 90/02 vom 30. Dezember 2002 E. 2.3.2, nicht publ. in: BGE 129 V 67 , aber in: AHI 2003 S. 215). Einer ärztlichen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(SVR 2005 IV Nr. 21 S. 81, I 249/04 E. 5.1.1; AHI 2004 S. 137, I 311/03 E. 5.3; 2001 S. 158, I 99/00 E. 3c).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(erwähntes Urteil 9C_201/2011 E. 2 mit diversen Hinweisen).</w:t>
      </w:r>
    </w:p>
    <w:p>
      <w:r>
        <w:rPr>
          <w:b/>
        </w:rPr>
        <w:t>E. 5.3</w:t>
      </w:r>
    </w:p>
    <w:p>
      <w:r>
        <w:t>Entgegen der von den Beschwerdeführern vertretenen Auffassung sind keine Umstände auszumachen, welche den Abklärungsbericht im Lichte der dargestellten Grundsätze als ungeeignet oder mangelhaft erscheinen liessen. Soweit diese Verständigungsschwierigkeiten anführen, beziehen sie sich auf die Angaben zum tatsächlich geleisteten Arbeitspensum. Die vorinstanzliche Feststellung eines hypothetischen Erwerbspensums als Gesunde von höchstens 86 Prozent ist letztinstanzlich jedoch unbestritten, weshalb nicht näher darauf einzugehen ist. Im Übrigen war während der Abklärung vor Ort eine Dolmetscherin anwesend. Die gestützt darauf erhobenen Feststellungen wurden regelkonform unter Berücksichtigung der zugestandenen Mithilfe des Sohnes beim Fensterputzen im Rahmen schadenmindernder Vorkehren ermittelt (vgl. Urteil 8C_729/2009 vom 30. November 2009 E. 4.3). Dabei gilt es zu beachten, dass die diesbezügliche Mithilfe durch Familienangehörige rechtsprechungsgemäss weiter geht als die ohne Gesundheitsschädigung üblicherweise zu erwartende Unterstützung ( BGE 133 V 504 E. 4.2 S. 509 f. mit Hinweisen). Eine mögliche Mithilfe des im Zeitpunkt der Abklärung getrennt lebenden Ehemannes wurde, entgegen der Annahme der Beschwerdeführer, von der Abklärungsperson nicht berücksichtigt. Da die anlässlich der Haushaltsabklärung erhobenen Einschränkungen mit Blick auf den Gesundheitsschaden auch (fach-) ärztlicherseits als plausibel gewertet werden (vgl. Stellungnahme der RAD-Ärztin Dr. med. J.________ vom 24. Januar 2012), ist von deckungsgleichen Einschätzungen auszugehen. Mit ihrem pauschalen Vorwurf, die Ärztin habe keine eigene Untersuchung und Abklärung vor Ort durchgeführt, vermögen die Beschwerdeführer keine offensichtlich unrichtige Tatsachenfeststellung aufzuzeigen. Die in der Beschwerde beantragten Abklärungen zur Frage der Beeinträchtigung im Aufgabenbereich Haushaltführung erübrigt sich daher, wie der Blick auf die hievor zitierte Rechtsprechung zeigt.</w:t>
      </w:r>
    </w:p>
    <w:p>
      <w:r>
        <w:rPr>
          <w:b/>
        </w:rPr>
        <w:t>E. 6</w:t>
      </w:r>
    </w:p>
    <w:p>
      <w:r>
        <w:t>Zusammenfassend erweist sich die Beschwerde als unbegründet. Sie ist abzuweisen, und der vorinstanzliche Entscheid ist zu bestätigen.</w:t>
      </w:r>
    </w:p>
    <w:p>
      <w:r>
        <w:rPr>
          <w:b/>
        </w:rPr>
        <w:t>E. 7</w:t>
      </w:r>
    </w:p>
    <w:p>
      <w:r>
        <w:t>Das Verfahren ist kostenpflichtig. Die unterliegenden Beschwerdeführer haben die Gerichtskosten unter solidarischer Haftung je zur Hälfte zu tragen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