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8C_333/2013 vom 11. Dezember 2013</w:t>
      </w:r>
    </w:p>
    <w:p>
      <w:r>
        <w:t>Bundesgericht, 2013-12-11, DE</w:t>
      </w:r>
    </w:p>
    <w:p>
      <w:r>
        <w:rPr>
          <w:b/>
        </w:rPr>
        <w:t xml:space="preserve">Quelle: </w:t>
      </w:r>
      <w:r>
        <w:t>https://mcp.opencaselaw.ch/entscheid/bger_8C_333_2013</w:t>
      </w:r>
    </w:p>
    <w:p>
      <w:r>
        <w:t>FR: TF 8C_333/2013 du 11 décembre 2013</w:t>
      </w:r>
    </w:p>
    <w:p>
      <w:r>
        <w:t>IT: TF 8C_333/2013 del 11 dicembre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(nicht publ. E. 4.1 des Urteils BGE 135 V 254 , in SVR 2009 IV Nr. 53 S. 164 [9C_204/2009]; Urteil 8C_270/2013 vom 29. August 2013 E. 1.2). Dagegen ist die Beachtung des Untersuchungsgrundsatzes und der Beweiswürdigungsregeln nach Art. 61 lit. c ATSG eine Rechtsfrage. Gleiches gilt mit Bezug auf die unvollständige Feststellung rechtserheblicher Tatsachen sowie die Missachtung des Untersuchungsgrundsatzes ( Art. 43 Abs. 1, Art. 61 lit. c ATSG ).</w:t>
      </w:r>
    </w:p>
    <w:p>
      <w:r>
        <w:rPr>
          <w:b/>
        </w:rPr>
        <w:t>E. 2.1</w:t>
      </w:r>
    </w:p>
    <w:p>
      <w:r>
        <w:t>Streitig und zu prüfen ist, ob das kantonale Gericht Bundesrecht verletzte, indem es die revisionsweise Aufhebung der halben Invalidenrente bestätigte.</w:t>
      </w:r>
    </w:p>
    <w:p>
      <w:r>
        <w:rPr>
          <w:b/>
        </w:rPr>
        <w:t>E. 2.2</w:t>
      </w:r>
    </w:p>
    <w:p>
      <w:r>
        <w:t>Die Bestimmungen und Grundsätze zur Rentenrevision ( Art. 17 Abs. 1 ATSG ; 134 V 131 E. 3 S. 132 mit Hinweisen; 133 V 108 E. 5 S. 110 ff.; 117 V 198 E. 3b S. 199), zu den massgebenden Vergleichszeitpunkten ( BGE 133 V 108 E. 5 S. 110 ff.) sowie zu den Anforderungen an beweiskräftige medizinische Berichte und Gutachten ( BGE 134 V 231 E. 5.1 S. 232; 125 V 351 E. 3a S. 352 mit Hinweis) sind im angefochtenen Entscheid zutreffend dargelegt. Darauf wird verwiesen.</w:t>
      </w:r>
    </w:p>
    <w:p>
      <w:r>
        <w:rPr>
          <w:b/>
        </w:rPr>
        <w:t>E. 3</w:t>
      </w:r>
    </w:p>
    <w:p>
      <w:r>
        <w:t>Als revisionsbegründender Faktor steht eine Verbesserung des Gesundheitszustandes und damit einhergehend der Erwerbsfähigkeit zur Diskussion. Unbestritten ist dabei, dass die Verfügung vom 22. April bzw. 5. Juli 2005 den zeitlichen Referenzpunkt für die materielle Prüfung veränderter Verhältnisse bildet. Die Rentenzusprache basierte auf einer psychisch begründeten Einschränkung der Arbeitsunfähigkeit zufolge mittelgradiger depressiver Episode mit somatischem Syndrom, wobei dem Versicherten im Arztbericht der Fachstelle für Sozialpsychiatrie und Psychotherapie, vom 7. April 2004 eine 100%ige Arbeitsunfähigkeit in der angestammten Tätigkeit als Maschinenführer seit 29. Mai 2001 und eine 50%ige Arbeitsfähigkeit in einer leidensadaptierten Tätigkeit attestiert worden war.</w:t>
      </w:r>
    </w:p>
    <w:p>
      <w:r>
        <w:rPr>
          <w:b/>
        </w:rPr>
        <w:t>E. 4.1</w:t>
      </w:r>
    </w:p>
    <w:p>
      <w:r>
        <w:t>Nach Würdigung der medizinischen Aktenlage gelangte die Vorinstanz zum Schluss, dass sich der Gesundheitszustand des Beschwerdeführers seit Erlass der rentenzusprechenden Verfügung vom 22. April bzw. 5. Juli 2005 in erheblicher Weise verbessert hat und der Versicherte über eine Arbeitsfähigkeit in einer adaptierten Tätigkeit von 70% verfüge, wobei auch die angestammte Tätigkeit als Maschinenführer adaptiert erscheine. Es stützte sich dabei im Wesentlichen auf das psychiatrische Gutachten des Dr. med. B.________ vom 9. Juni 2010. Darin werden mit Auswirkung auf die Arbeitsfähigkeit eine rezidivierende depressive Störung, ggw. leicht bis mittelgradige depressive Episode, beginnende Chronifizierung in leichter Ausprägung, sowie eine leichtgradige, atypische Angststörung nach Krebserkrankung vor acht Jahren, und ohne Auswirkung auf die Arbeitsfähigkeit akzentuierte Persönlichkeitszüge mit passiv-aggressiven und ängstlich vermeidenden Anteilen diagnostiziert. Gemäss Dr. med. B.________ besteht in der angestammten Tätigkeit als angelernter Maschinenführer aus psychiatrischer Sicht spätestens ab dem Untersuchungszeitpunkt im April 2010 eine Arbeitsunfähigkeit von ca. 30 %, wobei die Tätigkeit vollzeitlich bei verminderter Leistungsfähigkeit um ca. 30 % ausgeübt werden könne. Dasselbe gelte für andere adaptierte Tätigkeiten.</w:t>
      </w:r>
    </w:p>
    <w:p>
      <w:r>
        <w:rPr>
          <w:b/>
        </w:rPr>
        <w:t>E. 4.2</w:t>
      </w:r>
    </w:p>
    <w:p>
      <w:r>
        <w:t>Die Einwendungen des Beschwerdeführers sind nicht geeignet, die für das Bundesgericht grundsätzlich verbindlichen tatsächlichen Feststellungen des kantonalen Gerichts zum Gesundheitszustand, zu deren Veränderung und zur Arbeitsfähigkeit als offensichtlich unrichtig oder sonstwie bundesrechtswidrig erscheinen zu lassen. Die Vorinstanz hat die medizinische Aktenlage einlässlich und pflichtgemäss gewürdigt. Das im Rahmen des Revisionsverfahrens eingeholte psychiatrische Gutachten vom 9. Juni 2010 erfüllt, wie das kantonale Gericht darlegt, die von der Rechtsprechung ( BGE 125 V 351 E. 3a S. 352) gestellten Anforderungen und setzt sich insbesondere auch mit den anderen medizinischen Berichten auseinander. Wenn das kantonale Gericht gestützt darauf zum Schluss gelangt, der Beschwerdeführer sei in der angestammten sowie in übrigen leidensadaptierten Tätigkeiten zu 70 % arbeitsfähig, lässt sich dies nicht beanstanden.</w:t>
      </w:r>
    </w:p>
    <w:p>
      <w:r>
        <w:rPr>
          <w:b/>
        </w:rPr>
        <w:t>E. 5</w:t>
      </w:r>
    </w:p>
    <w:p>
      <w:r>
        <w:t>Streitig und zu prüfen sind die erwerblichen Auswirkungen der Verbesserung des Gesundheitszustandes.</w:t>
      </w:r>
    </w:p>
    <w:p>
      <w:r>
        <w:rPr>
          <w:b/>
        </w:rPr>
        <w:t>E. 5.1</w:t>
      </w:r>
    </w:p>
    <w:p>
      <w:r>
        <w:t>Die IV-Stelle hat ihrer Verfügung vom 2. Dezember 2010 ein Valideneinkommen von Fr. 69'279.- zu Grunde gelegt, welches sie aus der angestammten Tätigkeit als Metallarbeiter übernommen und wohl der Teuerung angepasst hat. Als Invalideneinkommen hat sie 70 % davon, somit Fr. 48'495.- genommen und aus der Gegenüberstellung von Validen- und Invalideneinkommen einen Invaliditätsgrad von 30% ermittelt. Obschon die IV-Stelle dieses Vorgehen als "Einkommensvergleich" bezeichnet hat, hat sie in Wirklichkeit einen Prozentvergleich vorgenommen. Das kantonale Gericht bestätigte die Vornahme eines Prozentvergleichs, da der Versicherte weiterhin in seiner angestammten Tätigkeit arbeiten könne.</w:t>
      </w:r>
    </w:p>
    <w:p>
      <w:r>
        <w:rPr>
          <w:b/>
        </w:rPr>
        <w:t>E. 5.2</w:t>
      </w:r>
    </w:p>
    <w:p>
      <w:r>
        <w:t>Der Beschwerdeführer kritisiert die Vornahme eines Prozentvergleichs, da er seit Jahren nicht mehr bei der ehemaligen Arbeitgeberin tätig sei. Er macht geltend, es sei ein Einkommensvergleich zwischen dem anhand des bei der letzten Arbeitgeberin erzielten Lohnes zu ermittelnden Valideneinkommens und des anhand von Tabellenlöhnen zu ermittelnden Invalideneinkommens durchzuführen. Bezüglich des der Verfügung vom 2. Dezember 2010 zu Grunde gelegten Valideneinkommens wendet er zudem ein, die Hochrechnung sei nicht nachvollziehbar und mit dem IK-Zusammenzug nicht vereinbar.</w:t>
      </w:r>
    </w:p>
    <w:p>
      <w:r>
        <w:rPr>
          <w:b/>
        </w:rPr>
        <w:t>E. 5.3</w:t>
      </w:r>
    </w:p>
    <w:p>
      <w:r>
        <w:t>Der Invaliditätsgrad ist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unterscheitet ( BGE 104 V 135 E. 2b S. 137; Urteil 9C_100/2010 vom 23. Mai 2010 E. 2.1; Urteil des Eidg. Versicherungsgerichts I 117/06 vom 23. Mai 2006 E. 4.1 mit Hinweisen).</w:t>
      </w:r>
    </w:p>
    <w:p>
      <w:r>
        <w:rPr>
          <w:b/>
        </w:rPr>
        <w:t>E. 5.4</w:t>
      </w:r>
    </w:p>
    <w:p>
      <w:r>
        <w:t>Das gestützt auf das Psychiatrische-Gutachten vom 9. Juni 2010 angenommene Zumutbarkeitsprofil ist genügend präzise, um eine verlässliche Bestimmung des Invaliditätsgrades anhand eines Pozentvergleichs vorzunehmen, während die Einwendungen des Beschwerdeführers, wonach er seit Jahren nicht mehr arbeite und das angenommene Valideneinkommen mit den IK-Auszügen nicht vereinbar sei, gerade deutlich machten, dass eine hinreichend genaue Gegenüberstellung von Validen- und Invalideneinkommen nicht möglich ist. Wenn die Vorinstanz aufgrund des im Gutachten umschriebenen Anforderungsprofils von einer 70%igen Restarbeitsfähigkeit im bisherigen Beruf ausging, erübrigt sich unter diesen Umständen ein ziffernmässiger Einkommensvergleich und es kann ohne Weiteres davon ausgegangen werden, dass der Invaliditätsgrad (entsprechend der gutachterlich attestierten Arbeitsfähigkeit von 70 Prozent) 30 % entspricht (Urteil 9C_109/2013 vom 9. April 2013 E. 4).</w:t>
      </w:r>
    </w:p>
    <w:p>
      <w:r>
        <w:rPr>
          <w:b/>
        </w:rPr>
        <w:t>E. 6</w:t>
      </w:r>
    </w:p>
    <w:p>
      <w:r>
        <w:t>Der Beschwerdeführer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