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332/2016 vom 26. August 2016</w:t>
      </w:r>
    </w:p>
    <w:p>
      <w:r>
        <w:t>Bundesgericht, 2016-08-26, DE</w:t>
      </w:r>
    </w:p>
    <w:p>
      <w:r>
        <w:rPr>
          <w:b/>
        </w:rPr>
        <w:t xml:space="preserve">Quelle: </w:t>
      </w:r>
      <w:r>
        <w:t>https://mcp.opencaselaw.ch/entscheid/bger_8C_332_2016</w:t>
      </w:r>
    </w:p>
    <w:p>
      <w:r>
        <w:t>FR: TF 8C 332/2016 du 26 août 2016</w:t>
      </w:r>
    </w:p>
    <w:p>
      <w:r>
        <w:t>IT: TF 8C 332/2016 del 26 agosto 2016</w:t>
      </w:r>
    </w:p>
    <w:p>
      <w:pPr>
        <w:pStyle w:val="Heading2"/>
      </w:pPr>
      <w:r>
        <w:t>Regeste</w:t>
      </w:r>
    </w:p>
    <w:p>
      <w:r>
        <w:t>Unfallversicherung (Invalidenrente; 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Rahmen der Bemessung des Invaliditätsgrades ist allein das Valideneinkommen umstritten, wie bereits vor dem kantonalen Gericht. Der Beschwerdeführer macht geltend, es sei statt dem von der SUVA festgesetzten von 70'859 Franken ein höheres, der (statistischen) Nominallohnentwicklung angepasstes Valideneinkommen von 72'689 Franken heranzuziehen; dies entspreche der Verfügung der IV-Stelle des Kantons Thurgau vom 19. Oktober 2015. Im Vergleich mit dem Invalideneinkommen von 61'633 Franken ergebe sich ein Invaliditätsgrad von 15 Prozent statt 13 Prozent. Das Valideneinkommen ist der Lohn, den der Versicherte erzielen könnte, wenn er nicht invalid geworden wäre ( Art. 16 ATSG ). Nach konstanter Rechtsprechung ist bei dessen Ermittlung entscheidend, was die versicherte Person im Zeitpunkt des frühestmöglichen Rentenbeginns als Gesunde tatsächlich verdienen würde. Es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139 V 28 E. 3.3.2 S. 30; 135 V 58 E. 3.1 S. 59; 134 V 322 E. 4.1 S. 325; Urteil 8C_537/2015 vom 7. Dezember 2015 E. 2.2). Die SUVA hat bei der Ermittlung des Valideneinkommens auf die Angaben des Arbeitgebers vom 5. Juni 2014 abgestellt. Danach hätte der Versicherte zum Zeitpunkt des Rentenbeginns im Jahr 2014 einen Monatslohn von 5'450 Franken beziehungsweise 70'859 Franken im Jahr verdient. Die teuerungsbedingte Lohnanpassung sei nach dem Landesmantelvertrag erfolgt. Dass diese Angaben nicht korrekt gewesen wären, wird beschwerdeweise nicht geltend gemacht. Auch wird nicht näher ausgeführt, weshalb die Lohnberechnung des Arbeitgebers mit Lohnerhöhung nach den Vorgaben des massgeblichen Gesamtarbeitsvertrages statt nach der statistischen Lohnentwicklung nicht rechtens gewesen wäre. Die SUVA und die Vorinstanz haben nach der dargelegten bundesgerichtlichen Praxis auf die tatsächlichen Verhältnisse zum Zeitpunkt des Rentenbeginns im Jahr 2014 abgestellt. Das kantonale Gericht hat sich dazu eingehend und zutreffend geäussert. Es hat insbesondere erwogen, dass die Invalidenversicherung eine (befristete) Rente bereits ab Dezember 2011 zugesprochen habe und daher von den Angaben des Arbeitgebers für den damaligen Zeitpunkt ausgegangen sei. Des Weiteren hat es ausdrücklich auf die Rechtsprechung hingewiesen, wonach die dem Rentenentscheid zugrunde liegende Invaliditätsbemessung im gegenseitigen Verhältnis zwischen Invaliden- und Unfallversicherung keine Verbindlichkeitswirkung entfaltet ( BGE 133 V 549 ; 134 V 153 E. 5.2 S. 157).</w:t>
      </w:r>
    </w:p>
    <w:p>
      <w:r>
        <w:rPr>
          <w:b/>
        </w:rPr>
        <w:t>E. 3</w:t>
      </w:r>
    </w:p>
    <w:p>
      <w:r>
        <w:t>Die Beschwerde ist offensichtlich unbegründet und wird im vereinfachten Verfahren nach Art. 109 BGG , ohne Durchführung des Schriftenwechsels, mit summarischer Begründung und unter Verweis auf den vorinstanzlichen Entscheid erledigt.</w:t>
      </w:r>
    </w:p>
    <w:p>
      <w:r>
        <w:rPr>
          <w:b/>
        </w:rPr>
        <w:t>E. 4</w:t>
      </w:r>
    </w:p>
    <w:p>
      <w:r>
        <w:t>Das Verfahren ist kostenpflichtig ( Art. 65 BGG ). Die Gerichtskosten werden dem unterliegenden Beschwerdeführer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