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8C_331/2019 vom 18. September 2019</w:t>
      </w:r>
    </w:p>
    <w:p>
      <w:r>
        <w:t>Bundesgericht, 2019-09-18, DE</w:t>
      </w:r>
    </w:p>
    <w:p>
      <w:r>
        <w:rPr>
          <w:b/>
        </w:rPr>
        <w:t xml:space="preserve">Quelle: </w:t>
      </w:r>
      <w:r>
        <w:t>https://mcp.opencaselaw.ch/entscheid/bger_8C_331_2019</w:t>
      </w:r>
    </w:p>
    <w:p>
      <w:r>
        <w:t>FR: TF 8C_331/2019 du 18 septembre 2019</w:t>
      </w:r>
    </w:p>
    <w:p>
      <w:r>
        <w:t>IT: TF 8C_331/2019 del 18 settembre 2019</w:t>
      </w:r>
    </w:p>
    <w:p>
      <w:pPr>
        <w:pStyle w:val="Heading2"/>
      </w:pPr>
      <w:r>
        <w:t>Erwägungen</w:t>
      </w:r>
    </w:p>
    <w:p>
      <w:r>
        <w:rPr>
          <w:b/>
        </w:rPr>
        <w:t>E. 1</w:t>
      </w:r>
    </w:p>
    <w:p>
      <w:r>
        <w:t>Mit Beschwerde in öffentlich-rechtlichen Angelegenheiten kann u.a. die Verletzung von Bundesrecht ( Art. 95 lit. a BGG ), einschliesslich Überschreitung oder Missbrauch des Ermessens (vgl. BGE 132 V 292 E. 3.3 S. 399), sowie eine offensichtlich unrichtige oder auf einer Verletzung von Art. 95 beruhende Sachverhaltsfeststellung ( Art. 97 Abs. 1 BGG ) gerügt werden. Eine Angemessenheitskontrolle ist dem Bundesgericht verwehrt; es überprüft zwar frei, ob der angefochtene Akt verhältnismässig ist ( BGE 134 V 153 E. 4.2 S. 157), hingegen kann es nicht sein eigenes Ermessen - im Sinne einer Überprüfung der Zweckmässigkeit (Opportunität) - an die Stelle desjenigen der zuständigen Behörden setzen ( BGE 124 II 114 E. 1b S. 116 mit Hinweisen; Urteil 8C_302/2019 vom 22. August 2019 E. 1).</w:t>
      </w:r>
    </w:p>
    <w:p>
      <w:r>
        <w:rPr>
          <w:b/>
        </w:rPr>
        <w:t>E. 2</w:t>
      </w:r>
    </w:p>
    <w:p>
      <w:r>
        <w:t>Streitig und zu prüfen ist, ob die Vorinstanz Bundesrecht verletzte, indem sie die von der Verwaltung verfügte Einstellungsdauer von sieben Tagen auf deren vier reduzierte. Nicht mehr strittig ist vor Bundesgericht die grundsätzliche Einstellung des Versicherten in der Anspruchsberechtigung wegen ungenügender persönlicher Arbeitsbemühungen in der Kontrollperiode Oktober 2017.</w:t>
      </w:r>
    </w:p>
    <w:p>
      <w:r>
        <w:rPr>
          <w:b/>
        </w:rPr>
        <w:t>E. 3.1</w:t>
      </w:r>
    </w:p>
    <w:p>
      <w:r>
        <w:t>Die Dauer der Einstellung in der Anspruchsberechtigung bemisst sich nach dem Grad des Verschuldens und beträgt je Einstellungsgrund höchstens 60 Tage ( Art. 30 Abs. 3 AVIG ). Der Bundesrat kann eine Mindestdauer der Einstellung vorschreiben (Art. 30 Abs. 3</w:t>
      </w:r>
    </w:p>
    <w:p>
      <w:r>
        <w:t>bis AVIG). Die Einstellung dauert nach Art. 45 Abs. 3 AVIV bei leichtem Verschulden ein bis 15 Tage (lit. a), bei mittelschwerem Verschulden 16 bis 30 Tage (lit. b) und bei schwerem Verschulden 31 bis 60 Tage (lit. c). Wird die versicherte Person wiederholt in der Anspruchsberechtigung eingestellt, so wird die Einstellungsdauer gemäss Art. 45 Abs. 5 AVIV angemessen verlängert. Für die Verlängerung werden die Einstellungen der letzten zwei Jahre berücksichtigt.</w:t>
      </w:r>
    </w:p>
    <w:p>
      <w:r>
        <w:rPr>
          <w:b/>
        </w:rPr>
        <w:t>E. 3.2</w:t>
      </w:r>
    </w:p>
    <w:p>
      <w:r>
        <w:t>Die Festlegung der Einstellungsdauer beschlägt eine typische Ermessensfrage, deren Beantwortung letztinstanzlicher Korrektur nur mehr dort zugänglich ist, wo das kantonale Gericht sein Ermessen rechtsfehlerhaft ausgeübt hat, also bei Ermessensüberschreitung oder -unterschreitung sowie bei Ermessensmissbrauch.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72 f. mit Hinweis auf BGE 132 V 393 E. 3.3 S. 399).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5.2 S. 73; 116 V 307 E. 2 S. 310; Urteil 8C_556/2016 vom 23. November 2016 E. 4.1, in: ARV 2016 S. 308; vgl. auch Urteil 8C_528/2018 vom 18. Januar 2019 E. 4.2 mit Hinweisen).</w:t>
      </w:r>
    </w:p>
    <w:p>
      <w:r>
        <w:rPr>
          <w:b/>
        </w:rPr>
        <w:t>E. 3.3</w:t>
      </w:r>
    </w:p>
    <w:p>
      <w:r>
        <w:t>Im Gegensatz zur Kognition des Bundesgerichts ist diejenige der Vorinstanz in diesem Zusammenhang nicht auf Rechtsverletzung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126 V 75 E. 6 S. 81; Urteile 8C_747/2018 vom 20. März 2019 E. 4.3, 8C_528/2018 vom 18. Januar 2019 E. 4.3 und 8C_777/2017 vom 2. August 2018 E. 4.3).</w:t>
      </w:r>
    </w:p>
    <w:p>
      <w:r>
        <w:rPr>
          <w:b/>
        </w:rPr>
        <w:t>E. 4.1</w:t>
      </w:r>
    </w:p>
    <w:p>
      <w:r>
        <w:t>Das kantonale Gericht führte bezüglich Herabsetzung der Einstellungsdauer von sieben auf vier Tage aus, die von der Verwaltung verfügte Einstellung in der Anspruchsberechtigung für sieben Tage entspreche einer Sanktion im mittleren Bereich eines leichten Verschuldens. Dabei sei grundsätzlich zu Recht berücksichtigt worden, dass der Versicherte bereits wegen ungenügender persönlicher Arbeitsbemühungen in der Anspruchsberechtigung eingestellt worden sei, wie auch, dass er einen Zwischenverdienst erziele. In Würdigung der gesamten persönlichen Umstände des Beschwerdegegners erscheine indes eine Einstellung von vier Tagen als gerechtfertigt. Dabei sei auch zu berücksichtigen, dass der Versicherte trotz der aufgezeigten qualitativen Mängel bei den Arbeitsbemühungen regelmässig namhafte und konstante Suchbemühungen ausgewiesen habe und mit dem im Vergleich zum versicherten Verdienst hohen Zwischenverdienst einen nicht unbeachtlichen Teil zur Schadenminderung beitrage.</w:t>
      </w:r>
    </w:p>
    <w:p>
      <w:r>
        <w:rPr>
          <w:b/>
        </w:rPr>
        <w:t>E. 4.2</w:t>
      </w:r>
    </w:p>
    <w:p>
      <w:r>
        <w:t>Es steht fest und ist unbestritten, dass der Beschwerdegegner in den letzten zwei Jahren bereits wegen ungenügender Arbeitsbemühungen in der Anspruchsberechtigung eingestellt werden musste.</w:t>
      </w:r>
    </w:p>
    <w:p>
      <w:r>
        <w:rPr>
          <w:b/>
        </w:rPr>
        <w:t>E. 4.3</w:t>
      </w:r>
    </w:p>
    <w:p>
      <w:r>
        <w:t>Die für die Dauer der Einstellung relevante Beurteilung des Verschuldens erfolgt mit Blick auf das bisherige Verhalten der Versicherten, wobei - wie in E. 3.1 hiervor dargelegt - die Einstellungsdauer gemäss Art. 45 Abs. 5 AVIV angemessen zu verlängern ist, wenn die versicherte Person während der letzten zwei Jahre wiederholt in der Anspruchsberechtigung eingestellt wurde. Das Beschwerde führende AWA weist zu Recht darauf hin, dass praxisgemäss bei zweitmals ungenügenden Arbeitsbemühungen während der Kontrollperiode nach der Weisung des SECO gemäss AVIG-Praxis ALE (Rz. D79, Ziff. 1.C Nr. 2) eine Einstellung in der Anspruchsberechtigung von fünf bis neun Tagen erfolgt.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362 E. 2.4 S. 368). Das bedeutet, wie das AWA zu Recht vorbringt, dass die erwähnte, gemäss SECO-Raster vorgesehene Einstellungsdauer von fünf bis neun Tagen im Sinne einer Gleichbehandlung der versicherten Personen in einer vergleichbaren Lage ohne triftigen Grund nicht unterschritten werden soll. Den diesbezüglich von der Vorinstanz erwähnten Zwischenverdienst wie auch das Verhalten des Beschwerdegegners hat das AWA in der Verfügung vom 29. November 2017 und im Einspracheentscheid vom 20. Dezember 2017, wie das kantonale Gericht selber erwähnt, bereits verschuldensmindernd berücksichtigt.</w:t>
      </w:r>
    </w:p>
    <w:p>
      <w:r>
        <w:rPr>
          <w:b/>
        </w:rPr>
        <w:t>E. 4.4</w:t>
      </w:r>
    </w:p>
    <w:p>
      <w:r>
        <w:t>Zusammenfassend lagen keine triftigen Gründe vor, um in das Verwaltungsermessen einzugreifen. Das AWA siedelte die erneut ungenügenden Arbeitsbemühungen des Beschwerdegegners unter Berücksichtigung seines Verhaltens in angemessener Weise im mittleren Bereich des leichten Verschuldens an, weshalb das kantonale Gericht in unzulässiger Weise in die pflichtgemässe Ermessensausübung der Verwaltung eingriff. Die Beschwerde ist mithin begründet.</w:t>
      </w:r>
    </w:p>
    <w:p>
      <w:r>
        <w:rPr>
          <w:b/>
        </w:rPr>
        <w:t>E. 5</w:t>
      </w:r>
    </w:p>
    <w:p>
      <w:r>
        <w:t>Dem Ausgang des Verfahrens entsprechend hat der Beschwerdegegner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