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8C_330/2018 vom 23. Mai 2018</w:t>
      </w:r>
    </w:p>
    <w:p>
      <w:r>
        <w:t>Bundesgericht, 2018-05-23, DE</w:t>
      </w:r>
    </w:p>
    <w:p>
      <w:r>
        <w:rPr>
          <w:b/>
        </w:rPr>
        <w:t xml:space="preserve">Quelle: </w:t>
      </w:r>
      <w:r>
        <w:t>https://mcp.opencaselaw.ch/entscheid/bger_8C_330_2018</w:t>
      </w:r>
    </w:p>
    <w:p>
      <w:r>
        <w:t>FR: TF 8C_330/2018 du 23 mai 2018</w:t>
      </w:r>
    </w:p>
    <w:p>
      <w:r>
        <w:t>IT: TF 8C_330/2018 del 23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8C_330/2018</w:t>
      </w:r>
    </w:p>
    <w:p>
      <w:r>
        <w:t>Urteil vom 23. Mai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Berger Götz.</w:t>
      </w:r>
    </w:p>
    <w:p>
      <w:r>
        <w:t>Verfahrensbeteiligte</w:t>
      </w:r>
    </w:p>
    <w:p>
      <w:r>
        <w:t>Staatssekretariat für Wirtschaft (SECO), Direktion, Arbeitsmarkt/Arbeitslosenversicherung, TCJD, Holzikofenweg 36, 3003 Bern,</w:t>
      </w:r>
    </w:p>
    <w:p>
      <w:r>
        <w:t>Beschwerdeführer,</w:t>
      </w:r>
    </w:p>
    <w:p>
      <w:r>
        <w:t>gegen</w:t>
      </w:r>
    </w:p>
    <w:p>
      <w:r>
        <w:t>A.________ AG,</w:t>
      </w:r>
    </w:p>
    <w:p>
      <w:r>
        <w:t>vertreten durch Rechtsanwälte Dr. Flurin von Planta und Dr. Thomas Castelberg,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die Zwischenverfügung des Bundesverwaltungsgerichts vom 21. März 2018 (B-664/2017).</w:t>
      </w:r>
    </w:p>
    <w:p>
      <w:r>
        <w:t>Nach Einsicht</w:t>
      </w:r>
    </w:p>
    <w:p>
      <w:r>
        <w:t>in die Beschwerde vom 3. Mai 2018 gegen die Zwischenverfügung des Bundesverwaltungsgerichts vom 21. März 2018, mit welcher die aufschiebende Wirkung des vorinstanzlich von der A.________ AG eingereichten Rechtsmittels wiederhergestellt wurde,</w:t>
      </w:r>
    </w:p>
    <w:p>
      <w:r>
        <w:t>in Erwägung,</w:t>
      </w:r>
    </w:p>
    <w:p>
      <w:r>
        <w:t>dass die Beschwerde nach Art. 100 Abs. 1 BGG innert 30 Tagen nach der Eröffnung der vollständigen Ausfertigung des angefochtenen Entscheids beim Bundesgericht einzureichen ist,</w:t>
      </w:r>
    </w:p>
    <w:p>
      <w:r>
        <w:t>dass die vorliegend angefochtene Zwischenverfügung dem Staatssekretariat für Wirtschaft (SECO) am 22. März 2018 ausgehändigt worden ist, weshalb die 30-tägige Beschwerdefrist am 23. März 2018 zu laufen begann und, da der letzte Tag der Frist auf einen Samstag fiel, am Montag, 23. April 2018 endete (vgl. Art. 45 Abs. 1 BGG ),</w:t>
      </w:r>
    </w:p>
    <w:p>
      <w:r>
        <w:t>dass sich das SECO auf den Fristenstillstand gemäss Art. 46 Abs. 1 lit. a BGG vom siebten Tag vor Ostern bis und mit dem siebenten Tag nach Ostern beruft,</w:t>
      </w:r>
    </w:p>
    <w:p>
      <w:r>
        <w:t>dass der Fristenstillstand im Sinne von Art. 46 Abs. 1 BBG allerdings unter anderem in Verfahren betreffend aufschiebende Wirkung und andere vorsorgliche Massnahmen nicht gilt ( Art. 46 Abs. 2 BGG ; SVR 2012 IV 40 S. 151, 9C_652/2011 E. 4.4; KATHRIN AMSTUTZ/PETER ARNOLD, in: Basler Kommentar, Bundesgerichtsgesetz, 2. Aufl. 2011, S. 547 f. N. 11 und 11a zu Art. 46 BGG ; JEAN-MAURICE FRÉSARD, in: Commentaire de la LTF, 2. Aufl. 2014, S. 351 N. 8 zu Art. 46 BGG ),</w:t>
      </w:r>
    </w:p>
    <w:p>
      <w:r>
        <w:t>dass die erst am 3. Mai 2018 der Post übergebene Beschwerde gegen die die aufschiebende Wirkung wiederherstellende Zwischenverfügung des Bundesverwaltungsgerichts somit klarerweise verspätet ist,</w:t>
      </w:r>
    </w:p>
    <w:p>
      <w:r>
        <w:t>dass deshalb im vereinfachten Verfahren nach Art. 108 Abs. 1 lit. a BGG auf das offensichtlich unzulässige Rechtsmittel nicht eingetreten werden kann,</w:t>
      </w:r>
    </w:p>
    <w:p>
      <w:r>
        <w:t>dass das SECO von der Kostenpflicht befreit ist ( Art. 66 Abs. 4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Bundesverwaltungsgericht schriftlich mitgeteilt.</w:t>
      </w:r>
    </w:p>
    <w:p>
      <w:r>
        <w:t>Luzern, 23. Mai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