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8C_32/2023 vom 21. Februar 2023</w:t>
      </w:r>
    </w:p>
    <w:p>
      <w:r>
        <w:t>Bundesgericht, 2023-02-21, FR</w:t>
      </w:r>
    </w:p>
    <w:p>
      <w:r>
        <w:rPr>
          <w:b/>
        </w:rPr>
        <w:t xml:space="preserve">Quelle: </w:t>
      </w:r>
      <w:r>
        <w:t>https://mcp.opencaselaw.ch/entscheid/bger_8C_32_2023</w:t>
      </w:r>
    </w:p>
    <w:p>
      <w:r>
        <w:t>FR: TF 8C_32/2023 du 21 février 2023</w:t>
      </w:r>
    </w:p>
    <w:p>
      <w:r>
        <w:t>IT: TF 8C_32/2023 del 21 febbraio 2023</w:t>
      </w:r>
    </w:p>
    <w:p>
      <w:pPr>
        <w:pStyle w:val="Heading2"/>
      </w:pPr>
      <w:r>
        <w:t>Erwägungen</w:t>
      </w:r>
    </w:p>
    <w:p>
      <w:r>
        <w:rPr>
          <w:b/>
        </w:rPr>
        <w:t>E. 1</w:t>
      </w:r>
    </w:p>
    <w:p>
      <w:r>
        <w:t>Par arrêt du 22 décembre 2022, la Cour des assurances sociales du Tribunal cantonal vaudois a déclaré irrecevable, pour cause de tardiveté, le recours formé par A.________ contre la décision sur opposition rendue le 5 octobre 2022 par la Caisse nationale suisse en cas d'accidents (CNA), par laquelle celle-ci a mis un terme aux prestations allouées au prénommé avec effet au 24 juillet 2022.</w:t>
      </w:r>
    </w:p>
    <w:p>
      <w:r>
        <w:rPr>
          <w:b/>
        </w:rPr>
        <w:t>E. 2</w:t>
      </w:r>
    </w:p>
    <w:p>
      <w:r>
        <w:t>Par lettre du 20 janvier 2023, A.________ forme un recours au Tribunal fédéral contre cet arrêt.</w:t>
      </w:r>
    </w:p>
    <w:p>
      <w:r>
        <w:rPr>
          <w:b/>
        </w:rPr>
        <w:t>E. 3</w:t>
      </w:r>
    </w:p>
    <w:p>
      <w:r>
        <w:t>Par ordonnance du 23 janvier 2023, le Tribunal fédéral a rendu le recourant attentif au fait que son écriture ne semblait pas remplir les conditions de forme posées par la loi pour un recours en matière de droit public (conclusions et exigences de motivation), l'invitant à remédier à cette irrégularité avant l'expiration du délai de recours mentionné à la fin de l'arrêt attaqué, avec la précision que le délai ne courrait pas du 18 décembre au 2 janvier inclus.</w:t>
      </w:r>
    </w:p>
    <w:p>
      <w:r>
        <w:t>A.________ n'a pas réagi à cette communication.</w:t>
      </w:r>
    </w:p>
    <w:p>
      <w:r>
        <w:rPr>
          <w:b/>
        </w:rPr>
        <w:t>E. 4</w:t>
      </w:r>
    </w:p>
    <w:p>
      <w:r>
        <w:t>L' art. 108 al. 1 let. a LTF prévoit que le président de la cour ou un autre juge désigné par lui décide en procédure simplifiée de ne pas entrer en matière sur les recours manifestement irrecevables.</w:t>
      </w:r>
    </w:p>
    <w:p>
      <w:r>
        <w:rPr>
          <w:b/>
        </w:rPr>
        <w:t>E. 5</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138 I 171 consid. 1.4).</w:t>
      </w:r>
    </w:p>
    <w:p>
      <w:r>
        <w:rPr>
          <w:b/>
        </w:rPr>
        <w:t>E. 6</w:t>
      </w:r>
    </w:p>
    <w:p>
      <w:r>
        <w:t>En l'espèce, la lettre du 20 janvier 2023 du recourant ne contient ni conclusions ni motivation juridique et ne s'en prend pas à l'arrêt d'irrecevabilité rendu par l'autorité précédente. Partant, le recours ne répond pas aux exigences de l' art. 42 al. 1 et 2 LTF et doit être déclaré irrecevable selon la procédure simplifiée de l' art. 108 al. 1 let. a LTF .</w:t>
      </w:r>
    </w:p>
    <w:p>
      <w:r>
        <w:rPr>
          <w:b/>
        </w:rPr>
        <w:t>E. 7</w:t>
      </w:r>
    </w:p>
    <w:p>
      <w:r>
        <w:t>Au vu de ces circonstances, il convient de renoncer à la perception de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