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32/2017 vom 12. April 2017</w:t>
      </w:r>
    </w:p>
    <w:p>
      <w:r>
        <w:t>Bundesgericht, 2017-04-12, DE</w:t>
      </w:r>
    </w:p>
    <w:p>
      <w:r>
        <w:rPr>
          <w:b/>
        </w:rPr>
        <w:t xml:space="preserve">Quelle: </w:t>
      </w:r>
      <w:r>
        <w:t>https://mcp.opencaselaw.ch/entscheid/bger_8C_32_2017</w:t>
      </w:r>
    </w:p>
    <w:p>
      <w:r>
        <w:t>FR: TF 8C 32/2017 du 12 avril 2017</w:t>
      </w:r>
    </w:p>
    <w:p>
      <w:r>
        <w:t>IT: TF 8C 32/2017 del 12 aprile 2017</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Ändert sich der Invaliditätsgrad eines Rentenbezügers erheblich, so wird gemäss Art. 17 ATSG die Rente von Amtes wegen oder auf Gesuch hin für die Zukunft entsprechend erhöht, herabgesetzt oder aufgehoben. Die Frage der wesentlichen Änderung in den tatsächlichen Verhältnissen beurteilt sich im vorliegenden Fall unbestrittenermassen durch Vergleich des Sachverhalts, wie er im Zeitpunkt der ursprünglichen Rentenverfügung bestanden hat, mit demjenigen zur Zeit der streitigen Revisionsverfügung ( BGE 134 V 131 E. 3 S. 132 f.). 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2.3</w:t>
      </w:r>
    </w:p>
    <w:p>
      <w:r>
        <w:t>Streitig und zu prüfen ist, ob die Vorinstanz Bundesrecht verletzte, als sie die Rentenaufhebung auf Ende des der Zustellung der Verfügung vom 29. April 2016 folgenden Monats bestätigte.</w:t>
      </w:r>
    </w:p>
    <w:p>
      <w:r>
        <w:rPr>
          <w:b/>
        </w:rPr>
        <w:t>E. 3.1</w:t>
      </w:r>
    </w:p>
    <w:p>
      <w:r>
        <w:t>Das kantonale Gericht hat in umfassender Würdigung der medizinischen Akten, insbesondere gestützt auf das Gutachten des ZIMB vom 11. Mai 2014 für das Bundesgericht grundsätzlich verbindlich festgestellt, dass sich der Gesundheitszustand der Versicherten in der Zeit zwischen rentenzusprechenden Verfügung (31. Mai 2002) und dem erneuten Gutachten erheblich verbessert hat. Was die Beschwerdeführerin gegen diese Feststellung vorbringt, vermag diese nicht als bundesrechtswidrig erscheinen zu lassen. Gemäss den Gutachtern des ZIMB hat sich der Gesundheitszustand der Versicherten stabilisiert; eine psychische Diagnose könne im Jahre 2014 nicht mehr gestellt werden. Insbesondere sei im aktuellen Zeitpunkt (2014) keine somatoforme Schmerzstörung mehr gegeben. Gleichzeitig bestätigen die Experten des ZIMB jedoch, dass die entsprechende Diagnose im Gutachten des ZMB vom 23. August 2001 und die damals attestierte Arbeitsunfähigkeit für den damaligen Zeitpunkt nachvollziehbar seien. Somit nehmen die Gutachter des ZIMB entgegen den Ausführungen der Versicherten nicht bloss eine abweichende Beurteilung eines im Wesentlichen gleich gebliebenen Sachverhaltes vor, sondern gehen von einer echten und damit revisionsrechtlich relevanten Verbesserung des Gesundheitszustandes aus. Daran vermag auch der Umstand nichts zu ändern, dass nach eigenen Angaben der (subjektive) Leidensdruck der Versicherten unverändert geblieben ist. Die Vorinstanz hat somit kein Bundesrecht verletzt, als sie einen Revisionsgrund bejaht hat; entsprechend ist der Rentenanspruch für die Zukunft in rechtlicher und tatsächlicher Hinsicht umfassend ("allseitig") zu prüfen, wobei keine Bindung an frühere Beurteilungen besteht ( BGE 141 V 9 E. 2.3 S. 10 f. mit weiteren Hinweisen).</w:t>
      </w:r>
    </w:p>
    <w:p>
      <w:r>
        <w:rPr>
          <w:b/>
        </w:rPr>
        <w:t>E. 3.2</w:t>
      </w:r>
    </w:p>
    <w:p>
      <w:r>
        <w:t>Da die Beschwerdeführerin gemäss der gutachterlichen Einschätzung weder an einer somatoformen Schmerzstörung noch an einem anderen psychosomatischen Leiden im Sinne von BGE 141 V 281 erkrankt ist, erübrigt sich entgegen den Erwägungen der Vorinstanz eine Auseinandersetzung mit diesem Leiturteil (vgl. auch Urteil 8C_130/2016 vom 16. August 2016 E. 4.5). Es kann somit ohne weiteres auf die Einschätzung der Experten abgestellt werden, wonach der Versicherten ihre angestammte Tätigkeit nicht mehr, eine optimal angepasste Arbeit aber vollzeitlich zumutbar ist.</w:t>
      </w:r>
    </w:p>
    <w:p>
      <w:r>
        <w:rPr>
          <w:b/>
        </w:rPr>
        <w:t>E. 3.3</w:t>
      </w:r>
    </w:p>
    <w:p>
      <w:r>
        <w:t>Die Vorinstanz ermittelte aufgrund eines Einkommensvergleiches einen nicht mehr rentenbegründenden Invaliditätsgrad von 27 %. Soweit die Versicherte die Anrechnung eines höheren Valideneinkommens verlangt, legt sie nicht in einer Art. 42 Abs. 2 BGG genügenden Weise dar, inwiefern die diesbezüglichen vorinstanzlichen Erwägungen Recht verletzten sollten. Wie das kantonale Gericht weiter für das Bundesgericht verbindlich festgestellt hat, ist die lange Abwesenheit der Beschwerdeführerin vom Arbeitsmarkt überwiegend invalidtätsfremd. Somit braucht nicht näher geprüft zu werden, ob eine solche bei der Bemessung des Invalideneinkommens ein Abzug vom Tabellenlohn im Sinne von BGE 129 V 472 rechtfertigen würde. Die Vorinstanz hat somit kein Bundesrecht verletzt, als sie die revisionsweise Aufhebung der Rente bestätigt hat; die Beschwerde der Versicherten ist abzuweisen.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