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32/2012 vom 14. Mai 2012</w:t>
      </w:r>
    </w:p>
    <w:p>
      <w:r>
        <w:t>Bundesgericht, 2012-05-14, IT</w:t>
      </w:r>
    </w:p>
    <w:p>
      <w:r>
        <w:rPr>
          <w:b/>
        </w:rPr>
        <w:t xml:space="preserve">Quelle: </w:t>
      </w:r>
      <w:r>
        <w:t>https://mcp.opencaselaw.ch/entscheid/bger_8C_32_2012</w:t>
      </w:r>
    </w:p>
    <w:p>
      <w:r>
        <w:t>FR: TF 8C 32/2012 du 14 mai 2012</w:t>
      </w:r>
    </w:p>
    <w:p>
      <w:r>
        <w:t>IT: TF 8C 32/2012 del 14 maggio 2012</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 A tale esposizione può essere fatto riferimento, non senza tuttavia ribadire che per la definizione del guadagno da invalido la giurisprudenza ha in sostanza stabilito fare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Qualora difettino indicazioni economiche effettive, possono essere ritenuti i dati forniti dalle statistiche salariali ( DTF 126 V 75 segg.). La questione di sapere se e in quale misura i salari fondati su dati statistici debbano essere ridotti in considerazione delle particolarità del caso dipende dall'insieme delle circostanze personali e professionali (limitazione addebitabile al danno alla salute, età, anni di servizio, nazionalità e tipo di permesso di dimora, grado di occupazione), criteri, questi, che l'amministrazione è tenuta a valutare globalmente, ritenuto che una deduzione massima del 25% del salario statistico permette di tenere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 DTF 126 V 75 consid. 5b/cc e 6 pag. 80 seg.).</w:t>
      </w:r>
    </w:p>
    <w:p>
      <w:r>
        <w:rPr>
          <w:b/>
        </w:rPr>
        <w:t>E. 3</w:t>
      </w:r>
    </w:p>
    <w:p>
      <w:r>
        <w:t>Unico oggetto del contendere è il tasso di deduzione dal reddito base da invalido per tenere conto delle particolarità personali e professionali del caso. Tasso che la Corte cantonale ha stabilito al 20% e che il ricorrente chiede invece di riconoscere nella misura massima possibile del 25%, conformemente a quanto del resto determinato originariamente dall'assicuratore opponente in occasione della decisione di rifiuto della rendita. L'insorgente in tale contesto lamenta inoltre una violazione del suo diritto di essere sentito da parte del primo giudice.</w:t>
      </w:r>
    </w:p>
    <w:p>
      <w:r>
        <w:rPr>
          <w:b/>
        </w:rPr>
        <w:t>E. 4.1</w:t>
      </w:r>
    </w:p>
    <w:p>
      <w:r>
        <w:t>Il tema di sapere se si debba procedere a una riduzione del salario statistico in considerazione di circostanze particolari (legate all'handicap della persona o ad altri fattori)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 132 V 393 consid. 3.3 pag. 399). Qualora nella determinazione della portata della riduzione del salario statistico non sia a torto stato considerato un determinato elemento, il tribunale cantonale delle assicurazioni o il Tribunale federale devono procedere a una nuova valutazione globale della deduzione, e non già riprendere il tasso di deduzione riconosciuto dall'amministrazione o dalla precedente istanza, aumentandolo adeguatamente (sentenza 9C_728/2009 del 21 settembre 2010, in SVR 2011 IV n. 31 pag. 90 consid. 4.1.2).</w:t>
      </w:r>
    </w:p>
    <w:p>
      <w:r>
        <w:rPr>
          <w:b/>
        </w:rPr>
        <w:t>E. 4.2</w:t>
      </w:r>
    </w:p>
    <w:p>
      <w:r>
        <w:t>Contrariamente al potere di apprezzamento del Tribunale federale, quello dell'autorità giudiziaria di primo grado non è per contro limitato alla violazione del diritto (compresi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 DTF 126 V 75 consid. 6 pag. 81; DTF 137 V 71 consid. 5.2 pag. 73 seg.). Ne discende che la giurisdizione cantonale, quando è chiamata a verificare il potere di apprezzamento esercitato dall'amministrazione per fissare l'estensione della riduzione sul reddito da invalido, deve dirigere la propria attenzione sulle differenti soluzioni che si offrivano agli organi esecutivi dell'assicurazione contro gli infortuni e domandarsi se una deduzione più o meno elevata (ma comunque limitata al 25% [ DTF 126 V 75 ]) sia maggiormente appropriata e si imponga per un valido motivo, ma senza altrimenti sostituire il proprio apprezzamento a quello dell'amministrazione (cfr. DTF 9C_280/2010 citata consid. 5.2 in fine; vedi pure sentenza 9C_273/2011 del 27 gennaio 2012 consid. 1.3).</w:t>
      </w:r>
    </w:p>
    <w:p>
      <w:r>
        <w:rPr>
          <w:b/>
        </w:rPr>
        <w:t>E. 4.3</w:t>
      </w:r>
    </w:p>
    <w:p>
      <w:r>
        <w:t>Nel caso di specie, il ricorrente lamenta in particolare un'insufficiente motivazione della pronuncia impugnata relativamente al tasso di riduzione riconosciuto sul reddito base da invalido, ritenendola del tutto sommaria e lesiva del suo diritto di essere sentito. La censura è fondata. Il primo giudice si limita in effetti ad affermare, in modo alquanto generico, di ritenere giustificato, tutto ben considerato, tenuto conto delle circostanze personali e professionali, applicare una riduzione del 15, massimo 20%, la decurtazione del 25% applicata dall'amministrazione apparendo manifestamente esagerata. Una simile motivazione, troppo succinta, non è chiaramente sufficiente per soddisfare le esigenze poste in proposito dalla suesposta giurisprudenza in DTF 137 V 71 segg..</w:t>
      </w:r>
    </w:p>
    <w:p>
      <w:r>
        <w:rPr>
          <w:b/>
        </w:rPr>
        <w:t>E. 5</w:t>
      </w:r>
    </w:p>
    <w:p>
      <w:r>
        <w:t>Ne segue che il ricorso dev'essere accolto, il giudizio impugnato annullato e la causa rinviata all'istanza precedente per nuova valutazione del tasso di riduzione sul reddito base da invalido, da motivare in maniera adeguata. Le spese seguono la soccombenza e sono poste a carico dell'assicuratore opponente ( art. 66 cpv. 1 LTF ), il quale rifonderà al ricorrente, patrocinato da un legale, un'indennità per ripetibili della sede federale ( art. 68 cpv. 1 e 2 LTF ). In tali condizioni, la domanda di assistenza giudiziaria gratuita e di gratuito patrocinio del ricorrente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