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329/2016 vom 2. September 2016</w:t>
      </w:r>
    </w:p>
    <w:p>
      <w:r>
        <w:t>Bundesgericht, 2016-09-02, DE</w:t>
      </w:r>
    </w:p>
    <w:p>
      <w:r>
        <w:rPr>
          <w:b/>
        </w:rPr>
        <w:t xml:space="preserve">Quelle: </w:t>
      </w:r>
      <w:r>
        <w:t>https://mcp.opencaselaw.ch/entscheid/bger_8C_329_2016</w:t>
      </w:r>
    </w:p>
    <w:p>
      <w:r>
        <w:t>FR: TF 8C 329/2016 du 2 septembre 2016</w:t>
      </w:r>
    </w:p>
    <w:p>
      <w:r>
        <w:t>IT: TF 8C 329/2016 del 2 settembre 2016</w:t>
      </w:r>
    </w:p>
    <w:p>
      <w:pPr>
        <w:pStyle w:val="Heading2"/>
      </w:pPr>
      <w:r>
        <w:t>Regeste</w:t>
      </w:r>
    </w:p>
    <w:p>
      <w:r>
        <w:t>Öffentliches Personalrecht | Öffentliches Dienstverhältnis</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keine der in Art. 83 BGG erwähnten Ausnahmen greift und die Streitwertgrenze von Art. 85 Abs. 1 lit. b BGG überschritten ist.</w:t>
      </w:r>
    </w:p>
    <w:p>
      <w:r>
        <w:rPr>
          <w:b/>
        </w:rPr>
        <w:t>E. 2</w:t>
      </w:r>
    </w:p>
    <w:p>
      <w:r>
        <w:t>Streitig ist die Rechtmässigkeit der fristlosen Kündigung vom 26. März 2014.</w:t>
      </w:r>
    </w:p>
    <w:p>
      <w:r>
        <w:rPr>
          <w:b/>
        </w:rPr>
        <w:t>E. 3</w:t>
      </w:r>
    </w:p>
    <w:p>
      <w:r>
        <w:t>Der Beschwerdeführer rügt einerseits eine unrichtige Feststellung der Ereignisse, welche angeblich seine Kündigung rechtfertigen würden; andererseits macht er geltend, die vom Bezirk angeführten Vorkommnisse vermöchten keine fristlose Kündigung im Sinne von Art. 337 Abs. 1 OR zu rechtfertigen.</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4.2</w:t>
      </w:r>
    </w:p>
    <w:p>
      <w:r>
        <w:t>Soweit der Beschwerdeführer geltend macht, die Vorinstanz habe den Sachverhalt unzutreffend ermittelt, indem sie Mutmassungen angestellt habe, er habe anlässlich der Diskussion der Umfrage von Januar 2014 die Schüler unter Druck gesetzt, kann ihm nicht gefolgt werden. Fakt ist, dass der Beschwerdeführer entgegen der ausdrücklichen Weisung des Rektors vom 13. Januar 2014 die Umfrage mit den Schülern thematisiert hat; dies bestreitet er denn auch nicht und mehr wird ihm von der Vorinstanz auch nicht zur Last gelegt. Ebenso wenig ist eine offensichtlich unzutreffende Sachverhaltsfeststellung bezüglich der Vorkommnisse vom 20. Januar 2014 ersichtlich. Dass die Erkrankung des Beschwerdeführers schwer sein soll, war weder am Morgen des 20. Januar 2014 noch am nächsten Tag ersichtlich, als die Schulleiterin sich über die voraussichtliche Dauer der Abwesenheit erkundigte, um die Stellvertretung organisieren zu können. Der Hausarzt des Beschwerdeführers hat denn auch anfänglich eine nur zwei Wochen dauernde Arbeitsunfähigkeit attestiert, notabene ohne Einschränkung auf eine blosse Unfähigkeit zum Unterrichten zu machen. Daraus ergibt sich kein Leiden im nun geltend gemachten Schweregrad. Nicht ausser Acht zu lassen ist in diesem Zusammenhang, dass der Beschwerdeführer trotz seiner Krankheit in der Lage war, nach seinem Gutdünken Tätigkeiten in Zusammenhang mit der Schule auszuführen. Unter diesen Umständen ist es nicht willkürlich, wenn die Vorinstanz davon ausgegangen ist, dass ihm eine Teilnahme oder zumindest eine ordentliche Entschuldigung für das anberaumte Gespräch mit Vereinbarung eines neuen Termins zumutbar gewesen wäre. Aus den genannten Gründen ist auch die Ermahnung des Beschwerdeführers mit Schreiben des Schulpräsidenten vom 10. März 2014 nicht zu beanstanden. Weiter rügt der Beschwerdeführer einen offensichtlich unrichtigen Sachverhalt, weil die Vorinstanz die Information der Eltern und Schüler vom 22. Januar 2014 durch den Rektor als rechtens erachtete. Dabei handelt es sich aber nicht um eine Sachverhaltsfeststellung, sondern um eine rechtliche Würdigung eines an sich unbestrittenen Sachverhalts. Dasselbe gilt für den Vorwurf, die Vorinstanz sei zu Unrecht von einer Verletzung der Pflichten als Arbeitnehmer wegen der Strafanzeige gegen den Rektor resp. wegen der E-Mail vom 14. März 2014 ausgegangen. Die Feststellung der Vorinstanz, der Beschwerdeführer habe sich geweigert, an einem Gespräch mit dem Rektor teilzunehmen, ergibt sich zweifellos aus dem Schreiben seines Rechtsvertreters vom 24. März 2014, so dass keine willkürliche Sachverhaltsfeststellung vorliegt. Daran ändert auch die Berufung des Beschwerdeführers auf seine angeblich schwere Krankheit nichts. Schliesslich vermögen auch die übrigen Vorbringen keine offensichtlich unrichtige, d.h. willkürliche Sachverhaltsfeststellung durch die Vorinstanz zu belegen.</w:t>
      </w:r>
    </w:p>
    <w:p>
      <w:r>
        <w:rPr>
          <w:b/>
        </w:rPr>
        <w:t>E. 5.1</w:t>
      </w:r>
    </w:p>
    <w:p>
      <w:r>
        <w:t>Rechtsgrundlage des Arbeitsverhältnisses zwischen dem Beschwerdeführer und dem Bezirk ist das kantonale öffentliche Personalrecht. Zum kantonalen Recht zählt auch der gestützt auf das massgebende kantonale Recht subsidiär anwendbare Art. 337 OR ( BGE 140 I 320 E. 3.3 S. 322 mit weiteren Hinweisen). Das Bundesgericht überprüft die Anwendung des kantonalen Rechts - von den hier nicht gegebenen Fällen gemäss Art. 95 lit. c-e BGG abgesehen - nur insofern, als diese eine Verletzung von Bundesrecht im Sinne von Art. 95 lit. a BGG oder von Völkerrecht im Sinne von Art. 95 lit. b BGG darstellt ( BGE 140 I 320 E. 3.1 S. 321; 133 II 249 E. 1.2.1 S. 251; vgl. auch BGE 136 I 241 E. 2.4 S. 249). Dabei steht die willkürliche Anwendung von kantonalem Recht ( Art. 9 BV ) im Vordergrund.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5.2</w:t>
      </w:r>
    </w:p>
    <w:p>
      <w:r>
        <w:t>Entgegen der Ansicht des Beschwerdeführers gelangt Art. 337 Abs. 1 OR nicht als Bundesrecht, sondern lediglich als subsidiäres kantonales Recht zur Anwendung. Somit ist die Überprüfungsbefugnis des Bundesgerichts eine beschränkte (E. 5.1). Der Beschwerdeführer macht geltend, die fristlose Kündigung sei gestützt auf Art. 337 Abs. 1 OR nicht gerechtfertigt; er legt jedoch nicht dar, inwiefern das kantonale Gericht diese Norm geradezu willkürlich angewandt hätte.</w:t>
      </w:r>
    </w:p>
    <w:p>
      <w:r>
        <w:rPr>
          <w:b/>
        </w:rPr>
        <w:t>E. 5.3</w:t>
      </w:r>
    </w:p>
    <w:p>
      <w:r>
        <w:t>Soweit er wegen der angesetzten kurzen Frist zur Stellungnahme eine Verletzung des rechtlichen Gehörs ( Art. 29 Abs. 2 BV ) rügt, ist diese mit der Vorinstanz nicht zu beanstanden, zumal nach der Rechtsprechung im öffentlichen Dienstrecht auch relativ informelle Äusserungsgelegenheiten vor einer (fristlosen) Kündigung dem verfassungsmässigen Gehörsanspruch genügen, sofern der betroffenen Person klar war, dass sie mit einer solchen Massnahme zu rechnen hatte und ihr die zur Last gelegten Tatsachen bekannt sind (Urteile 8C_559/2015 vom 9. Dezember 2015 E. 4.2.3.2, 8C_258/2014 vom 15. Dezember 2014 E. 7.2.4 und 8C_728/2013 vom 22. August 2014 E. 3.1.3). Im hier zu beurteilenden Fall waren dem Rechtsvertreter die genauen Umstände (dem Beschwerdeführer zur Last gelegtes Verhalten; Ermahnungen vom 28. Februar 2014 und vom 10. März 2014, wonach keine weiteren Verstösse akzeptiert würden; Androhung von Sanktionen bei erneuten Verstössen) bereits vor dieser Fristansetzung bekannt, hat er doch den Beschwerdeführer an der Besprechung vom 6. März 2014 vertreten und sich mit Schreiben vom 23. Januar 2014 zur Sache geäussert. So war es ihm denn auch möglich, innert der gesetzten Frist, welche nebst dem Wochenende - entgegen seinen Angaben - drei Arbeitstage betrug, einlässlich Stellung zu nehmen. Unter diesen Umständen stellt die gesetzte Frist keine Verletzung des rechtlichen Gehörs dar (vgl. auch Urteile 8C_258/2014 vom 15. Dezember 2014 E. 7.2.6 und 8C_728/2013 vom 22. August 2014 E. 3.2.2). Demnach hat es beim kantonalen Entscheid sein Bewenden.</w:t>
      </w:r>
    </w:p>
    <w:p>
      <w:r>
        <w:rPr>
          <w:b/>
        </w:rPr>
        <w:t>E. 6</w:t>
      </w:r>
    </w:p>
    <w:p>
      <w:r>
        <w:t>Das Verfahren ist kostenpflichtig. Dem Verfahrensausgang entsprechend hat der Beschwerdeführer die Gerichtskosten zu tragen ( Art. 66 Abs. 1 BGG ). Der Bezirk hat keinen Anspruch auf eine Parteientschädigung, da er im Rahmen seines amtlichen Wirkungskreises tätig war und keine Ausnahme vorliegt, die ein Abweichen von diesem Grundsatz rechtfertigen würde ( Art. 68 Abs. 3 BGG ; vgl. die Urteile 8C_151/2010 vom 31. August 2010 E. 6.2 und 8C_771/2015 vom 29. Februar 2016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