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8C_329/2012 vom 21. September 2012</w:t>
      </w:r>
    </w:p>
    <w:p>
      <w:r>
        <w:t>Bundesgericht, 2012-09-21, DE</w:t>
      </w:r>
    </w:p>
    <w:p>
      <w:r>
        <w:rPr>
          <w:b/>
        </w:rPr>
        <w:t xml:space="preserve">Quelle: </w:t>
      </w:r>
      <w:r>
        <w:t>https://mcp.opencaselaw.ch/entscheid/bger_8C_329_2012</w:t>
      </w:r>
    </w:p>
    <w:p>
      <w:r>
        <w:t>FR: TF 8C_329/2012 du 21 septembre 2012</w:t>
      </w:r>
    </w:p>
    <w:p>
      <w:r>
        <w:t>IT: TF 8C_329/2012 del 21 settembre 2012</w:t>
      </w:r>
    </w:p>
    <w:p>
      <w:pPr>
        <w:pStyle w:val="Heading2"/>
      </w:pPr>
      <w:r>
        <w:t>Erwägungen</w:t>
      </w:r>
    </w:p>
    <w:p>
      <w:r>
        <w:rPr>
          <w:b/>
        </w:rPr>
        <w:t>E. 1</w:t>
      </w:r>
    </w:p>
    <w:p>
      <w:r>
        <w:t>Streitig ist die Parteistellung der PK NCR vor Bundesverwaltungsgericht (nachfolgend: E. 4.2) sowie die von der Vorinstanz angesetzte Nachfrist zur Verbesserung der Eingabe (nachfolgend: E. 4.3).</w:t>
      </w:r>
    </w:p>
    <w:p>
      <w:r>
        <w:rPr>
          <w:b/>
        </w:rPr>
        <w:t>E. 2</w:t>
      </w:r>
    </w:p>
    <w:p>
      <w:r>
        <w:t>Vorweg ist festzuhalten, dass die Auffassung der PK NCR, wonach sie 2009 die Rentenreduktion verfügt und der Versicherte dagegen kein Rechtsmittel eingelegt habe, unzutreffend ist resp. keine rechtliche Relevanz entfaltet, da die Vorsorgeeinrichtungen keine Befugnis haben, über Rechte und Pflichten ihrer Versicherten zu verfügen ( BGE 115 V 224 E. 2 S. 228 und seither ergangene Rechtsprechung, etwa Urteil des Eidg. Versicherungsgerichts H 65/02 vom 25. Oktober 2002 E. 2.2 oder Urteil 9C_73/2010 vom 28. September 2010 E. 7.1). Insofern ist es dem Versicherten unbenommen, die Zahlung der Differenz zwischen einer halben und einer ganzen Invalidenrente auf dem nach Art. 73 BVG vorgesehenen Klageweg geltend zu machen.</w:t>
      </w:r>
    </w:p>
    <w:p>
      <w:r>
        <w:rPr>
          <w:b/>
        </w:rPr>
        <w:t>E. 3.1</w:t>
      </w:r>
    </w:p>
    <w:p>
      <w:r>
        <w:t>Für das Verfahren vor Bundesverwaltungsgericht ist das Bundesgesetz vom 20. Dezember 1968 über das Verwaltungsverfahren (Verwaltungsverfahrensgesetz; VwVG; SR 172.021) massgebend, soweit das Bundesgesetz vom 17. Juni 2005 über das Bundesverwaltungsgericht (Verwaltungsgerichtsgesetz; VGG; SR 173.32) nichts anderes vorsieht ( Art. 37 VGG ). Das VwVG findet Anwendung auf das Verfahren in Verwaltungssachen, die durch Verfügungen von Bundesverwaltungsbehörden in erster Instanz oder auf Beschwerde hin zu erledigen sind ( Art. 1 Abs. 1 VwVG ); zu den Behörden im Sinne des Abs. 1 gehört auch das Bundesverwaltungsgericht (Abs. 2 lit. cbis). In Sozialversicherungsverfahren ist das VwVG nur anwendbar, soweit nicht das ATSG massgebend ist (Art. 3 lit. dbis VwVG). Die Verfahrensvorschriften von Art. 61 ATSG finden auf das Verfahren vor Bundesverwaltungsgericht keine Anwendung (vgl. etwa SVR 2010 UV Nr. 29 S. 117 E. 3.1 [8C_556/2009] sowie Kieser, ATSG-Kommentar, 2. Aufl., N. 4 zu Art. 61 ATSG ).</w:t>
      </w:r>
    </w:p>
    <w:p>
      <w:r>
        <w:t>Nach Art. 58 Abs. 1 und 2 VwVG kann die Verwaltung ihre Verfügung bis zu ihrer Vernehmlassung im Beschwerdeverfahren in Wiedererwägung ziehen; sie eröffnet diese neue Verfügung ohne Verzug den Parteien und bringt dies der Beschwerdeinstanz zur Kenntnis. Die Beschwerdeinstanz setzt die Behandlung der Beschwerde fort, soweit diese nicht durch die neue Verfügung gegenstandslos geworden ist ( Art. 58 Abs. 3 VwVG ). Erfüllt demnach diese neue Verfügung die Begehren der beschwerdeführenden Person vollumfänglich, hat sie kein Rechtsschutzinteresse am hängigen Verfahren mehr, so dass dieses gegenstandslos wird und abgeschrieben werden kann (vgl. Mächler, in: Auer/Müller/Schindler [Hrsg.], VwVG, Kommentar zum Bundesgesetz über das Verwaltungsverfahren, N. 16 zu Art. 58 VwVG ; Pfleiderer, in: Waldmann/Weissenberger [Hrsg.], VwVG, Praxiskommentar zum Bundesgesetz über das Verwaltungsverfahren, N. 48 zu Art. 58 VwVG ).</w:t>
      </w:r>
    </w:p>
    <w:p>
      <w:r>
        <w:rPr>
          <w:b/>
        </w:rPr>
        <w:t>E. 3.2</w:t>
      </w:r>
    </w:p>
    <w:p>
      <w:r>
        <w:t>Die von der IV-Stelle lite pendente erlassene Verfügung vom 18. Januar 2012 entspricht vollumfänglich den Begehren des Versicherten. Die Vorinstanz hat demnach das Verfahren C-5038/2011 zu Recht infolge Gegenstandslosigkeit abgeschrieben. Daran ändert auch der Umstand nichts, dass die PK NCR nicht mit den Rechtsschriften im Verfahren C-5038/2011 bedient wurde, da die Verfügung vom 18. Januar 2012 an die Stelle der Verfügung vom 18. Juli 2011 getreten ist (vgl. E. 4.1), so dass der PK NCR eine neue Rechtsmittelfrist eröffnet wurde und sie somit keinen Rechtsnachteil erlitt.</w:t>
      </w:r>
    </w:p>
    <w:p>
      <w:r>
        <w:rPr>
          <w:b/>
        </w:rPr>
        <w:t>E. 4.1</w:t>
      </w:r>
    </w:p>
    <w:p>
      <w:r>
        <w:t>Erlässt die Verwaltung eine Verfügung lite pendente im Sinne von Art. 58 Abs. 1 VwVG , so tritt diese an die Stelle der früheren Verfügung (Pfleiderer, a.a.O., N. 44 zu Art. 58 VwVG ). Sofern diese neue Verfügung die Begehren der beschwerdeführenden Person nur teilweise erfüllt, ist eine Abschreibung infolge Gegenstandslosigkeit unzulässig und die neue Verfügung gilt als mitangefochten im fortzusetzenden Verfahren (vgl. dazu Mächler, a.a.O., N. 18 zu Art. 58 VwVG ; Pfleiderer, a.a.O., N. 52 zu Art. 58 VwVG ).</w:t>
      </w:r>
    </w:p>
    <w:p>
      <w:r>
        <w:t>Anspruch auf eine Invalidenrente der beruflichen Vorsorge haben Versicherte, welche im Sinne der Invalidenversicherung zu mindestens 40 % invalid sind und bei Eintritt der zur Invalidität führenden Arbeitsunfähigkeit bei einer Vorsorgeeinrichtung versichert waren ( Art. 23 lit. a BVG ). Nach der Rechtsprechung sind die Vorsorgeeinrichtungen im Bereich der gesetzlichen Mindestvorsorge an die Feststellungen der IV-Organe gebunden. Dies gilt, soweit die invalidenversicherungsrechtliche Betrachtungsweise auf Grund der gesamthaften Prüfung der Akten nicht als offensichtlich unhaltbar erscheint. Eine Bindungswirkung entfällt ebenfalls, wenn die Vorsorgeeinrichtung nicht ins invalidenversicherungsrechtliche Verfahren einbezogen wird. Denn den Versicherern nach BVG steht in diesem Verfahren ein selbstständiges Beschwerderecht zu. Deshalb ist die IV-Stelle verpflichtet, eine Rentenverfügung allen in Betracht fallenden Vorsorgeeinrichtungen von Amtes wegen zu eröffnen. Unterbleibt ein solches Einbeziehen der Vorsorgeeinrichtung, ist die invalidenversicherungsrechtliche Festsetzung des Invaliditätsgrades berufsvorsorgerechtlich nicht verbindlich (SVR 2009 BVG Nr. 27 S. 97 E. 2.3, 8C_539/2008; vgl. auch BGE 133 V 67 E. 4.3 S. 68 mit Hinweisen).</w:t>
      </w:r>
    </w:p>
    <w:p>
      <w:r>
        <w:rPr>
          <w:b/>
        </w:rPr>
        <w:t>E. 4.2</w:t>
      </w:r>
    </w:p>
    <w:p>
      <w:r>
        <w:t>Die IV-Stelle hat die Verfügung vom 18. Januar 2012 auch der PK NCR zugestellt. Diese hatte sich am ersten Beschwerdeverfahren nicht beteiligt, da die angefochtene Verfügung ihrem Standpunkt entsprach. Mit Zustellung der Verfügung vom 18. Januar 2012 wurde ihr eine neue Verfügung mit Rechtsmittelfrist zu deren Anfechtung eröffnet. Insofern war es im Interesse der PK NCR, wenn die Vorinstanz die Eingabe vom 8. Februar 2012 als Beschwerde betrachtete, da ansonsten die Verfügung vom 18. Januar 2012 auch gegenüber der PK NCR in Rechtskraft erwachsen wäre, was - wie sich dem Schreiben vom 8. Februar 2012 entnehmen lässt - nicht dem Willen der PK NCR entsprach. Nachdem die PK NCR aber die von der Vorinstanz korrekterweise angesetzte Frist zur Behebung der formellen Mängel ihrer Eingabe insofern nicht nutzte, als sie mit Schreiben vom 15. März 2012 explizit festhielt, sie habe keine Beschwerde erhoben, ist nicht zu beanstanden, dass die Vorinstanz ein Prozessurteil erliess. Dabei kann offen bleiben, ob der Abschreibungsentscheid infolge Rückzugs der Beschwerde zu Recht erging oder ob - wie angedroht - nicht ein Nichteintretensentscheid mangels Beschwerdewillens hätte erfolgen sollen, da die Beendigung des Verfahrens durch ein Prozessurteil im Ergebnis nicht zu beanstanden ist und es für die PK NCR keinen Unterschied macht, ob ein Abschreibungs- oder Nichteintretensentscheid vorliegt, weil der Entscheid der PK NCR keine Kosten auferlegte und kein Sachurteil gefällt wurde. An diesem Ergebnis ändert auch der Umstand nichts, dass die Akten zuerst infolge der versehentlichen Falschadressierung nicht zugestellt werden konnten, da sie beim zweiten Versuch mit Fristansetzung zur Beschwerdeverbesserung unbestrittenermassen bei der Rechtsvertreterin der PK NCR eingingen.</w:t>
      </w:r>
    </w:p>
    <w:p>
      <w:r>
        <w:rPr>
          <w:b/>
        </w:rPr>
        <w:t>E. 4.3</w:t>
      </w:r>
    </w:p>
    <w:p>
      <w:r>
        <w:t>Soweit die PK NCR eventualiter gelten machen lässt, die von der Vorinstanz mit Zwischenverfügung vom 8. März 2012 angesetzte Frist entspreche nicht den Anforderungen des ATSG und sei in jedem Fall ungenügend, ist ihr einerseits entgegen zu halten, dass die Verfahrensbestimmungen von Art. 61 ATSG vor Bundesverwaltungsgericht keine Anwendung finden (E. 3.1). Andererseits ist die vom Bundesverwaltungsgericht angesetzte Frist von 5 Tagen zur Verbesserung des Mangels - im Vergleich zu der gestützt auf die Praxis zu Art. 61 ATSG geltenden üblichen Frist von 10 Tagen (vgl. etwa SVR 2010 UV Nr. 29 S. 117 E. 4.2 in fine [8C_556/2009] oder Kieser, a.a.O., N. 54 zu Art. 61 ATSG ) - kurz, entspricht jedoch der Praxis des Bundesverwaltungsgerichts (Moser, in: Auer/Müller/Schindler [Hrsg.], VwVG, Kommentar zum Bundesgesetz über das Verwaltungsverfahren, N. 16 zu Art. 52 VwVG und Seethaler/Bochsler, in: Waldmann/Weissenberger [Hrsg.], VwVG, Praxiskommentar zum Bundesgesetz über das Verwaltungsverfahren, N. 114 zu Art. 52 VwVG , je mit Hinweisen) und erweist sich in Anbetracht der Umstände (weitgehend bekannter Sachverhalt; korrekte Eröffnung der Verfügung vom 18. Januar 2012; rechtskundige Vertretung) als angemessen; vor allem aber wäre sie als behördlich festgesetzte Frist auf entsprechendes Gesuch der PK NCR hin erstreckbar gewesen ( Art. 22 Abs. 2 VwVG ; vgl. auch Seethaler/Bochsler, a.a.O., N. 114 zu Art. 52 VwVG ).</w:t>
      </w:r>
    </w:p>
    <w:p>
      <w:r>
        <w:rPr>
          <w:b/>
        </w:rPr>
        <w:t>E. 5</w:t>
      </w:r>
    </w:p>
    <w:p>
      <w:r>
        <w:t>Das Verfahren ist kostenpflichtig. Die unterliegende Beschwerdeführerin hat die Gerichtskosten zu tragen ( Art. 66 Abs. 1 BGG ).</w:t>
      </w:r>
    </w:p>
    <w:p>
      <w:r>
        <w:t>S.________, welcher sich als Mitbeteiligter in der Sache vernehmen liess, hat Anspruch auf eine Parteientschädigung zu Lasten der Beschwerdeführerin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