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8C_328/2019 vom 18. Juni 2019</w:t>
      </w:r>
    </w:p>
    <w:p>
      <w:r>
        <w:t>Bundesgericht, 2019-06-18, DE</w:t>
      </w:r>
    </w:p>
    <w:p>
      <w:r>
        <w:rPr>
          <w:b/>
        </w:rPr>
        <w:t xml:space="preserve">Quelle: </w:t>
      </w:r>
      <w:r>
        <w:t>https://mcp.opencaselaw.ch/entscheid/bger_8C_328_2019</w:t>
      </w:r>
    </w:p>
    <w:p>
      <w:r>
        <w:t>FR: TF 8C_328/2019 du 18 juin 2019</w:t>
      </w:r>
    </w:p>
    <w:p>
      <w:r>
        <w:t>IT: TF 8C_328/2019 del 18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8C_328/2019</w:t>
      </w:r>
    </w:p>
    <w:p>
      <w:r>
        <w:t>Urteil vom 18. Juni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 vom 24. April 2019 (IV.2017.13314).</w:t>
      </w:r>
    </w:p>
    <w:p>
      <w:r>
        <w:t>Nach Einsicht</w:t>
      </w:r>
    </w:p>
    <w:p>
      <w:r>
        <w:t>in die Beschwerde vom 16. Mai 2019 (Poststempel) gegen den gemäss postamtlicher Bescheinigung am 2. Mai 2019 an einen Elternteil von A.________ zugestellten Entscheid des Sozialversicherungsgerichts des Kantons Zürich vom 24. April 2019,</w:t>
      </w:r>
    </w:p>
    <w:p>
      <w:r>
        <w:t>in die Mitteilung des Bundesgerichts vom 22. Mai 2019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gemäss Art. 44 - 48 BGG am 3. Juni 2019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im angefochtenen Entscheid in Würdigung der Akten und Auseinandersetzung mit den Parteivorbringen zur Auffassung gelangte, die Verfügung der IV-Stelle vom 21. November 2017, wonach der Beschwerdeführer keinen Anspruch auf Hilflosenentschädigung habe, bestünde rechtens,</w:t>
      </w:r>
    </w:p>
    <w:p>
      <w:r>
        <w:t>dass der Beschwerdeführer darauf nicht hinreichend eingeht,</w:t>
      </w:r>
    </w:p>
    <w:p>
      <w:r>
        <w:t>dass es insbesondere nicht ausreicht, lediglich seine Lebensumstände zu schildern, in welchen er sich zwischen Dezember 2013 und Dezember 2014 befunden hat,</w:t>
      </w:r>
    </w:p>
    <w:p>
      <w:r>
        <w:t>dass er darüber hinaus vielmehr konkret darlegen hätte müssen, inwiefern er deswegen auf eine lebenspraktische Begleitung im Sinne von Art. 42 Abs. 3 IVG oder in den massgeblichen sechs alltäglichen Lebensverrichtungen ( BGE 127 V 94 E. 3c) dauernd auf Hilfe Dritter oder der persönlichen Überwachung angewiesen gewesen sein soll,</w:t>
      </w:r>
    </w:p>
    <w:p>
      <w:r>
        <w:t>dass die Beschwerde insgesamt offensichtlich nicht hinreichend begründet ist,</w:t>
      </w:r>
    </w:p>
    <w:p>
      <w:r>
        <w:t>dass deshalb darauf im vereinfachten Verfahren nach Art. 108 Abs. 1 lit. b BGG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18. Juni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