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8C_325/2025 vom 18. Juni 2025</w:t>
      </w:r>
    </w:p>
    <w:p>
      <w:r>
        <w:t>Bundesgericht, 2025-06-18, DE</w:t>
      </w:r>
    </w:p>
    <w:p>
      <w:r>
        <w:rPr>
          <w:b/>
        </w:rPr>
        <w:t xml:space="preserve">Quelle: </w:t>
      </w:r>
      <w:r>
        <w:t>https://mcp.opencaselaw.ch/entscheid/bger_8C_325_2025</w:t>
      </w:r>
    </w:p>
    <w:p>
      <w:r>
        <w:t>FR: TF 8C_325/2025 du 18 juin 2025</w:t>
      </w:r>
    </w:p>
    <w:p>
      <w:r>
        <w:t>IT: TF 8C_325/2025 del 18 giugno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änderte die Verfügung der Beschwerdegegnerin vom 26. Juli 2024 nach gewährter Möglichkeit zum Beschwerderückzug dahingehend ab, als dem Beschwerdeführer ab Juli 2022 56 % und ab Januar 2024 61 % einer ganzen Invalidenrente zustehe. Dabei sprach es dem bidiszipliären Gutachten der Dres. med. B.________, Facharzt für Allgemeine Innere Medizin sowie Rheumatologie, und C.________, Facharzt für Psychiatrie und Psychotherapie, vom 19. November 2023 vollen Beweiswert zu. Gestützt darauf legte die Vorinstanz die medizinisch-theoretische Arbeitsfähigkeit in einer dem Leiden angepassten Tätigkeit bis April 2022 auf 80% und ab Mai 2022 auf 50 % fest. Die daraus resultierende hypothetische Erwerbseinbusse bestimmte sie alsdann, indem sie bei der Ermittlung des Valideneinkommens - anders als die Beschwerdegegnerin - nicht auf den zuletzt als Gesunder tatsächlich erzielten Verdienst, sondern auf der Basis statistischer Werte abstellte.</w:t>
      </w:r>
    </w:p>
    <w:p>
      <w:r>
        <w:rPr>
          <w:b/>
        </w:rPr>
        <w:t>E. 3</w:t>
      </w:r>
    </w:p>
    <w:p>
      <w:r>
        <w:t>Die Vorbringen des Beschwerdeführers erschöpfen sich in einer letztinstanzlich unzulässigen appellatorischen Kritik an der vorinstanzlichen Würdigung der Parteivorbringen und der eingereichten Belege. Das kantonale Gericht hat in Auseinandersetzung mit den Parteivorbringen und in Würdigung der im Recht liegenden Arztberichte schlüssig dargelegt, weshalb zur Bestimmung der Arbeitsfähigkeit auf das Gutachten der Dres. med. B.________ und C.________ vom 19. November 2023 samt ergänzender Stellungnahme vom 14. Juni 2024 abgestellt werden kann. Hinsichtlich des Valideneinkommens hat es sodann näher ausgeführt, weshalb der damalige Stellenverlust überwiegend wahrscheinlich nicht krankheits- und invaliditätsbedingt gewesen sei, was zur Anwendung statistischer Durchschnittswerte führe. Dabei hat die Vorinstanz sich mit den vom Beschwerdeführer geltend gemachten Argumente, die für eine krankheitsbedingte Aufgabe der zuletzt als Gesunder ausgeübten Tätigkeit sprechen, auseinandergesetzt. Schliesslich hat sie auch aufgezeigt, weshalb die Vorbringen hinsichtlich der Eingliederungsfähigkeit und des Beginns der Arbeitsunfähigkeit nicht durchdringen bzw. ohne Belang sind. Inwiefern die dabei vorgenommene Beweiswürdigung willkürlich sein oder der Entscheid selber gegen Bundesrecht verstossen soll, legt der Beschwerdeführer nicht näher dar. Allein dies zu behaupten und das bereits vor Vorinstanz Vorgetragene zu wiederholen, reicht nicht aus.</w:t>
      </w:r>
    </w:p>
    <w:p>
      <w:r>
        <w:rPr>
          <w:b/>
        </w:rPr>
        <w:t>E. 4</w:t>
      </w:r>
    </w:p>
    <w:p>
      <w:r>
        <w:t>Fehlt es offensichtlich an einer hinreichend sachbezogenen Beschwerde,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