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325/2020 vom 30. September 2020</w:t>
      </w:r>
    </w:p>
    <w:p>
      <w:r>
        <w:t>Bundesgericht, 2020-09-30, DE</w:t>
      </w:r>
    </w:p>
    <w:p>
      <w:r>
        <w:rPr>
          <w:b/>
        </w:rPr>
        <w:t xml:space="preserve">Quelle: </w:t>
      </w:r>
      <w:r>
        <w:t>https://mcp.opencaselaw.ch/entscheid/bger_8C_325_2020</w:t>
      </w:r>
    </w:p>
    <w:p>
      <w:r>
        <w:t>FR: TF 8C 325/2020 du 30 septembre 2020</w:t>
      </w:r>
    </w:p>
    <w:p>
      <w:r>
        <w:t>IT: TF 8C 325/2020 del 30 settembre 2020</w:t>
      </w:r>
    </w:p>
    <w:p>
      <w:pPr>
        <w:pStyle w:val="Heading2"/>
      </w:pPr>
      <w:r>
        <w:t>Regeste</w:t>
      </w:r>
    </w:p>
    <w:p>
      <w:r>
        <w:t>Öffentliches Personalrecht (Beendigung; Entschädigung) | Öffentliches Dienstverhältnis</w:t>
      </w:r>
    </w:p>
    <w:p>
      <w:pPr>
        <w:pStyle w:val="Heading2"/>
      </w:pPr>
      <w:r>
        <w:t>Erwägungen</w:t>
      </w:r>
    </w:p>
    <w:p>
      <w:r>
        <w:rPr>
          <w:b/>
        </w:rPr>
        <w:t>E. 1</w:t>
      </w:r>
    </w:p>
    <w:p>
      <w:r>
        <w:t>Die Sachurteilsvoraussetzungen sind erfüllt, da die Beschwerde unter Einhaltung der gesetzlichen Frist ( Art. 100 Abs. 1 BGG ) und Form ( Art. 42 BGG ) von einer durch die Entscheidung besonders berührten Partei mit einem schutzwürdigen Interesse an deren Aufhebung oder Änderung ( Art. 89 Abs. 1 BGG ) eingereicht wurde und sich das Rechtsmittel gegen einen von einer letzten kantonalen Instanz ( Art. 86 Abs. 1 lit. d BGG ) gefällten Endentscheid ( Art. 90 BGG ) in einer Angelegenheit des öffentlichen Rechts ( Art. 82 lit. a BGG ) richtet, keine der in Art. 83 BGG erwähnten Ausnahmen greift und angesichts der beantragten Weiterbeschäftigung resp. Entschädigung auch der Streitwert von Art. 85 Abs. 1 lit. b BGG erfüllt ist.</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 Rechtsfragen überprüft das Bundesgericht mit voller Kognition ( Art. 95 BGG ; BGE 141 V 234 E. 2 S. 236). Die Anwendung von kantonalem Recht prüft es hingegen - abgesehen von den Fällen gemäss Art. 95 lit c-e BGG - nur auf Bundesrechtsverletzungen, namentlich auf Willkür, hin ( BGE 141 I 36 E. 1.3 S. 41 ; 138 I 143 E. 2 S. 150). In Bezug auf die Verletzung von Grundrechten und von kantonalem Recht gilt eine qualifizierte Rüge- und Substanziierungspflicht ( Art. 106 Abs. 2 BGG ; BGE 142 I 99 E. 1.7.2 S. 106 ; 139 I 229 E. 2.2 S. 232).</w:t>
      </w:r>
    </w:p>
    <w:p>
      <w:r>
        <w:rPr>
          <w:b/>
        </w:rPr>
        <w:t>E. 2.2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 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insbesondere wenn die Vorinstanz offensichtlich unhaltbare Schlüsse zieht, erhebliche Beweise übersieht oder solche grundlos ausser Acht lässt. Solche Mängel sind in der Beschwerde aufgrund des strengen Rügeprinzips klar und detailliert aufzuzeigen. Auf ungenügend begründete Rügen oder bloss allgemein gehaltene appellatorische Kritik am angefochtenen Entscheid tritt das Bundesgericht nicht ein ( BGE 144 V 50 E. 4.2 S. 53 mit Hinweisen).</w:t>
      </w:r>
    </w:p>
    <w:p>
      <w:r>
        <w:rPr>
          <w:b/>
        </w:rPr>
        <w:t>E. 2.3</w:t>
      </w:r>
    </w:p>
    <w:p>
      <w:r>
        <w:t>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141 I 70 E. 2.2 S. 72 mit Hinweisen).</w:t>
      </w:r>
    </w:p>
    <w:p>
      <w:r>
        <w:rPr>
          <w:b/>
        </w:rPr>
        <w:t>E. 3</w:t>
      </w:r>
    </w:p>
    <w:p>
      <w:r>
        <w:t>Streitig ist, ob das Dienstverhältnis zwischen dem Beschwerdeführer und dem AfI per 31. Januar 2019 beendet worden ist oder im Umfang von 50 % andauert resp. dem Beschwerdeführer infolge missbräuchlicher Beendigung eine Entschädigung zusteht.</w:t>
      </w:r>
    </w:p>
    <w:p>
      <w:r>
        <w:rPr>
          <w:b/>
        </w:rPr>
        <w:t>E. 4</w:t>
      </w:r>
    </w:p>
    <w:p>
      <w:r>
        <w:t>Die Vorinstanz erwog, § 17 der Verordnung des Regierungsrates des Kantons Thurgau vom 9. Dezember 2003 über die Rechtsstellung des Staatspersonals (RSV; RB 177.112) regle diverse Gründe für die Beendigung des Arbeitsverhältnisses, darunter Ziff. 4, wonach das Dienstverhältnis "mit Ablauf der maximalen Lohnfortzahlung" ende, und Ziff. 1, wonach die Kündigung ein weiterer möglicher Grund für die Beendigung sei. Die Systematik spreche dagegen, dass bei Ablauf der maximalen Lohnfortzahlungspflicht eine Kündigung erforderlich sei. Bei Arbeitsunfähigkeit infolge Krankheit oder Unfall bestehe nach § 20 der Verordnung des Grossen Rates des Kantons Thurgau vom 18. November 1998 über die Besoldung des Staatspersonals (BesVO; RB 177.22) ein Leistungsanspruch von 100 % in den ersten zwölf Monaten und von 80 % in den anschliessenden 12 Monaten; die Lohnfortzahlung erfolge somit während maximal 24 Monaten. § 30 Abs. 1 RSV lege fest, dass das Dienstverhältnis bei voller oder teilweiser Arbeitsunfähigkeit mit dem Erlöschen des maximalen Lohnfortzahlungsanspruchs ende, sofern eine Weiterbeschäftigung mit reduziertem Beschäftigungsgrad nicht möglich sei. Auch nach § 30 Abs. 1 RSV ende das Dienstverhältnis ohne Kündigung. Das AfI sei demnach nicht verpflichtet gewesen, eine Kündigung auszusprechen. Zu prüfen sei, ob ein Anspruch auf Weiterbeschäftigung bestehe. Der im Zeitpunkt des Entscheids vom 14. November 2018 geltende § 30 Abs. 1 RSV halte fest, dass das Dienstverhältnis ende, sofern eine Weiterbeschäftigung mit reduziertem Beschäftigungsgrad nicht möglich sei. Das AfI führe aus, massgeblich für die Aufteilung der Stellen sei der Stellenplan, der für den Servicedesk 380 Stellenprozente vorsehe, die auf vier Mitarbeiter verteilt seien. Es gebe viele Gründe für die Aufteilung auf drei volle und eine 80 % Stelle, unter anderem die Gewährleistung eines reibungslosen Kundensupports und eines lückenlosen Pikettdienstes. Weitere Argumente seien ein erhöhtes Fluktuationsrisiko, Kosten für die Einarbeitung und Weiterbildung sowie die angestrebte Kontinuität. Das kantonale Gericht erwog weiter, wie die Personalrekurskommission zutreffend festhalte, bestehe kein Rechtsanspruch auf Weiterbeschäftigung und eine Weiterbeschäftigungspflicht greife zu sehr in die Organisationsfreiheit der Ämter und Behörden ein. Die vom AfI erwähnten Gründe gegen eine Weiterbeschäftigung würden überzeugen. Es genüge, wenn das AfI nach Prüfung der betrieblichen Umstände mit nachvollziehbarer Begründung darlege, dass Teilzeitbeschäftigungen den Anforderungen an die Stelle nicht hinreichend gerecht würden. Dies habe das AfI gemacht, was bereits mit Schreiben vom 19. Januar 2018 angekündigt worden und mit Entscheid vom 14. November 2018 erfolgt sei. Aus der Neufassung des § 30 Abs. 1 RSV per 1. Januar 2020 könne der Beschwerdeführer nichts zu seinen Gunsten ableiten. Gemäss dem Willen des Verordnungsgebers habe mit dieser Änderung zur Schaffung von Rechtssicherheit die bisherige Praxis in der Verordnung verankert werden sollen.</w:t>
      </w:r>
    </w:p>
    <w:p>
      <w:r>
        <w:rPr>
          <w:b/>
        </w:rPr>
        <w:t>E. 5.1</w:t>
      </w:r>
    </w:p>
    <w:p>
      <w:r>
        <w:t>Soweit der Beschwerdeführer geltend macht, die vorinstanzliche Beweiswürdigung sei willkürlich, weil auf seine Einwände nicht oder nur oberflächlich eingegangen worden sei, kann ihm nicht gefolgt werden. Denn die Behörde war nicht verpflichtet, auf sämtliche Vorbringen einzugehen, sondern es reicht unter dem Blickwinkel des Anspruchs auf rechtliches Gehör ( Art. 29 Abs. 2 BV ), dass sich ihrem Entscheid insgesamt die Überlegungen entnehmen lassen, von denen sie sich hat leiten lassen ( BGE 136 I 184 E. 2.2.1 S. 188 und 229 E. 5.2 S. 236). Angesichts dieser verfassungsrechtlichen Anforderungen an die Begründung eines Entscheids war das Vorgehen der Vorinstanz nicht willkürlich, sondern bundesrechtskonform.</w:t>
      </w:r>
    </w:p>
    <w:p>
      <w:r>
        <w:rPr>
          <w:b/>
        </w:rPr>
        <w:t>E. 5.2</w:t>
      </w:r>
    </w:p>
    <w:p>
      <w:r>
        <w:t>Weiter lässt der Beschwerdeführer sinngemäss geltend machen, die vom AfI angeführten Argumente, weshalb eine Weiterführung seiner Beschäftigung zu einem reduzierten Arbeitspensum nicht möglich sei, seien nicht stichhaltig. Wie in E. 2 dargelegt, greift das Bundesgericht bei den vorinstanzlichen Sachverhaltsfeststellungen nur bei Willkür ein und prüft die Anwendung des kantonalen Rechts ebenfalls nur auf Willkür. Soweit der Beschwerdeführer bloss seine abweichende Ansicht zur vorinstanzlichen Beurteilung wiedergibt, vermag dies jedenfalls keine Willkür zu belegen. Die vom AfI vorgebrachten Gründe für eine Verteilung der insgesamt 380 Stellenprozente auf vier Personen sind denn auch sachlich und nachvollziehbar. Einerseits kann sich das AfI nicht wegen des Beschwerdeführers über den ihm vorgegebenen Stellenetat hinwegsetzen. Die Verteilung der Stellenprozente ist eine Frage der verfügbaren finanziellen Mittel im Verhältnis zu den damit zu erfüllenden Aufgaben. Es kann vom AfI nicht verlangt werden, dass es Stellenprozente intern verschiebt, um dem Beschwerdeführer eine Weiterbeschäftigung zu ermöglichen, was nur zu Lasten einer Anstellung in einem anderen Bereich möglich wäre. Andererseits ist es nachvollziehbar und überzeugend, dass die Sicherstellung eines durchgehenden Supports umso einfacher zu bewerkstelligen ist, je weniger Mitarbeiter und deren Absenzen zu berücksichtigen sind. Dasselbe gilt auch für die Einarbeitung und Weiterbildung der Mitarbeiter, was angesichts der sich beschleunigenden technischen Entwicklung insbesondere bei Angestellten des IT-Bereichs intensiver und kostspieliger ist. Schliesslich ist auch keine Willkür darin zu sehen, dass die Vorinstanz die Darlegung des betroffenen Amtes, es sei schwieriger, Teilzeitpensen zu besetzen, und diese würden zu einer höheren Fluktuation führen, nicht hinterfragt hatte. Denn selbst wenn bei einzelnen der genannten Punkte eine andere Ansicht vertretbar wäre, ist die Beurteilung der Vorinstanz im Ergebnis jedenfalls nicht willkürlich.</w:t>
      </w:r>
    </w:p>
    <w:p>
      <w:r>
        <w:rPr>
          <w:b/>
        </w:rPr>
        <w:t>E. 5.3</w:t>
      </w:r>
    </w:p>
    <w:p>
      <w:r>
        <w:t>Daran vermag auch der Umstand, dass der Beschwerdeführer während der Dauer der gesetzlich vorgesehenen Lohnfortzahlungspflicht zu einem Teilzeitpensum gearbeitet hat, nichts zu ändern. Denn während dieser Zeit war das AfI verpflichtet, ihn auch teilzeitlich arbeiten zu lassen. Es ist jedoch nicht verpflichtet, dies über die maximale Lohnfortzahlungspflicht hinaus zu tun, sofern sachliche Gründe dagegen sprechen. Andernfalls bestünde bei einer Restarbeitsfähigkeit in jedem Fall eine Weiterbeschäftigungspflicht; damit würde aber die Bedingung "sofern es möglich ist" unterlaufen.</w:t>
      </w:r>
    </w:p>
    <w:p>
      <w:r>
        <w:rPr>
          <w:b/>
        </w:rPr>
        <w:t>E. 6</w:t>
      </w:r>
    </w:p>
    <w:p>
      <w:r>
        <w:t>Der Beschwerdeführer rügt schliesslich, die Vorinstanz habe kantonales Recht in willkürlicher Weise angewendet, da sie davon ausgehe, dass nach § 30 RSV kein Anspruch auf Weiterbeschäftigung in einem reduzierten Arbeitspensum bestehe. Die Frage, ob nach kantonalem Recht ein Anspruch auf Weiterbeschäftigung besteht, kann offen bleiben. Denn selbst wenn ein solcher gegeben wäre, wäre er an die Voraussetzung geknüpft, dass eine Weiterbeschäftigung möglich ist. Letzteres hat die Vorinstanz aber verneint, was weder willkürlich ist noch anderweitig gegen Bundesrecht verstösst (E. 5).</w:t>
      </w:r>
    </w:p>
    <w:p>
      <w:r>
        <w:rPr>
          <w:b/>
        </w:rPr>
        <w:t>E. 7</w:t>
      </w:r>
    </w:p>
    <w:p>
      <w:r>
        <w:t>Soweit der Beschwerdeführer eventualiter eine Entschädigung wegen ungerechtfertigter Kündigung verlangt, ist darauf nicht weiter einzugehen, da die Beendigung des Dienstverhältnisses per 31. Januar 2019 nicht zu beanstanden ist.</w:t>
      </w:r>
    </w:p>
    <w:p>
      <w:r>
        <w:rPr>
          <w:b/>
        </w:rPr>
        <w:t>E. 8</w:t>
      </w:r>
    </w:p>
    <w:p>
      <w:r>
        <w:t>Das Verfahren ist kostenpflichtig. Der unterliegende Beschwerdeführer hat die Gerichtskosten zu tragen ( Art. 66 Abs. 1 BGG ). Das AfI hat keinen Anspruch auf eine Parteientschädigung, da es im Rahmen seines amtlichen Wirkungskreises tätig war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