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8C_325/2008 vom 17. Dezember 2008</w:t>
      </w:r>
    </w:p>
    <w:p>
      <w:r>
        <w:t>Bundesgericht, 2008-12-17, DE</w:t>
      </w:r>
    </w:p>
    <w:p>
      <w:r>
        <w:rPr>
          <w:b/>
        </w:rPr>
        <w:t xml:space="preserve">Quelle: </w:t>
      </w:r>
      <w:r>
        <w:t>https://mcp.opencaselaw.ch/entscheid/bger_8C_325_2008</w:t>
      </w:r>
    </w:p>
    <w:p>
      <w:r>
        <w:t>FR: TF 8C_325/2008 du 17 décembre 2008</w:t>
      </w:r>
    </w:p>
    <w:p>
      <w:r>
        <w:t>IT: TF 8C_325/2008 del 17 dicembre 2008</w:t>
      </w:r>
    </w:p>
    <w:p>
      <w:pPr>
        <w:pStyle w:val="Heading2"/>
      </w:pPr>
      <w:r>
        <w:t>Erwägungen</w:t>
      </w:r>
    </w:p>
    <w:p>
      <w:r>
        <w:rPr>
          <w:b/>
        </w:rPr>
        <w:t>E. 1</w:t>
      </w:r>
    </w:p>
    <w:p>
      <w:r>
        <w:t>Das kantonale Gericht hat die Bestimmungen und Grundsätze über den Begriff des Unfalls ( Art. 9 Abs. 1 UVV in der bis Ende 2002 gültig gewesenen Fassung; vgl. jetzt Art. 4 ATSG ) sowie den für die Leistungspflicht des obligatorischen Unfallversicherers ( Art. 6 Abs. 1 UVG ) vorausgesetzten natürlichen Kausalzusammenhang zwischen Unfallereignis und Gesundheitsschaden bei spezifischen Verletzungen der Halswirbelsäule (HWS; BGE 119 V 335 E. 2b/bb S. 340 f.; vgl. nun BGE 134 V 109 E. 9 S. 121 ff.), zutreffend dargelegt. Darauf wird verwiesen.</w:t>
      </w:r>
    </w:p>
    <w:p>
      <w:r>
        <w:rPr>
          <w:b/>
        </w:rPr>
        <w:t>E. 2.1</w:t>
      </w:r>
    </w:p>
    <w:p>
      <w:r>
        <w:t>Über den Vorfall vom 27. Juni 1999 ist den Akten zu entnehmen, dass die Beschwerdeführerin Beifahrerin in einem Personenwagen war. Dessen Lenker musste auf der Autobahn - offenbar wegen eines Tieres - abrupt bremsen. Die Beschwerdeführerin, welche sich nach eigenen Angaben nach vorne gebeugt hatte, weil sie die weggerutschte Handtasche zu greifen versuchte, wurde zunächst nach vorne in die Gurten gedrückt und anschliessend nach hinten geschleudert. Sie macht geltend, sie sei mit dem Kopf gegen die Kopfstütze geprallt. Diesen letzteren Umstand erachtete die Vorinstanz als nicht mit überwiegender Wahrscheinlichkeit erstellt.</w:t>
      </w:r>
    </w:p>
    <w:p>
      <w:r>
        <w:rPr>
          <w:b/>
        </w:rPr>
        <w:t>E. 2.2</w:t>
      </w:r>
    </w:p>
    <w:p>
      <w:r>
        <w:t>Nach der Rechtsprechung stellt die Hyperflexionsbewegung der Halswirbelsäule bei der Vollbremsung eines Autos ohne Kollision für sich allein genommen keinen ungewöhnlichen äusseren Faktor und damit keinen Unfall im Rechtssinne dar, denn es handelt sich um einen im betreffenden Lebensbereich alltäglichen und üblichen Vorgang. Die Annahme eines Unfalls im Rechtssinn setzt ein schadenspezifisches Zusatzgeschehen voraus ( BGE 134 V 74 E. 4.3.2.1 S. 80 f. mit Hinweisen). Dem Vorfall vom 27. Juni 1999 könnte somit nur dann Unfallcharakter zukommen, wenn der Anprall an die Kopfstütze, welchen die Beschwerdeführerin behauptet, während ihn das kantonale Gericht als nicht erwiesen ansieht, ein derartiges Zusatzgeschehen darstellen würde. Dies ist jedoch zu verneinen, denn im Anschluss an eine Vollbremsung kommt es keineswegs selten vor, dass die betroffene Person zunächst nach vorne und anschliessend nach hinten geworfen wird. Der Zweck der Kopfstütze besteht gerade darin, eine weitere Schleuderbewegung der Halswirbelsäule zu verhindern. Der Aufprall als solcher ist deshalb nicht ungewöhnlich. Das Eidgenössische Versicherungsgericht hat denn auch in einem vergleichbaren Fall ein Unfallereignis verneint (Urteil U 117/02 vom 9. Mai 2003 E. 2). Überdies ist zu berücksichtigen, dass aus der Bewegung der HWS resultierende Verletzungen nicht die Folge des Aufpralls auf der Kopfstütze, sondern bereits der vorangehenden Bewegung bilden würden. Der vorinstanzliche Entscheid lässt sich demnach nicht beanstanden. Die Beschwerde ist abzuweisen.</w:t>
      </w:r>
    </w:p>
    <w:p>
      <w:r>
        <w:rPr>
          <w:b/>
        </w:rPr>
        <w:t>E. 3</w:t>
      </w:r>
    </w:p>
    <w:p>
      <w:r>
        <w:t>Das Verfahren ist kostenpflichtig (Art. 65 Abs. 1 und Abs. 4 lit. a BGG). Die Gerichtskosten sind der Beschwerdeführerin als der unterliegenden Partei aufzuerlegen ( Art. 66 Abs. 1 BGG ). Die Beschwerdegegnerin ist eine mit öffentlich-rechtlichen Aufgaben betraute Organisation im Sinne von Art. 66 Abs. 4 BGG . Sie hat deshalb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