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8C_324/2019 vom 6. August 2019</w:t>
      </w:r>
    </w:p>
    <w:p>
      <w:r>
        <w:t>Bundesgericht, 2019-08-06, DE</w:t>
      </w:r>
    </w:p>
    <w:p>
      <w:r>
        <w:rPr>
          <w:b/>
        </w:rPr>
        <w:t xml:space="preserve">Quelle: </w:t>
      </w:r>
      <w:r>
        <w:t>https://mcp.opencaselaw.ch/entscheid/bger_8C_324_2019</w:t>
      </w:r>
    </w:p>
    <w:p>
      <w:r>
        <w:t>FR: TF 8C_324/2019 du 6 août 2019</w:t>
      </w:r>
    </w:p>
    <w:p>
      <w:r>
        <w:t>IT: TF 8C_324/2019 del 6 agosto 2019</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Sachurteilsvoraussetzungen sind erfüllt, sofern die Beschwerde in öffentlich-rechtlichen Angelegenheiten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1.3</w:t>
      </w:r>
    </w:p>
    <w:p>
      <w:r>
        <w:t>Entgegen der als fraglich erachteten Qualifikation als Endentscheid durch das Verwaltungsgericht ist diese Sachurteilsvoraussetzung erfüllt. Der vorinstanzliche Entscheid hat das Verfahren unter Vorbehalt des Weiterzugs an die nächst höhere Instanz im Sinne von Art. 90 BGG abgeschlossen. Gleich wie die Möglichkeit der Erhebung einer Beschwerde ändert auch diejenige der Einreichung eines Revi-sionsgesuchs oder eines Gesuchs um Erläuterung bzw. Berichtigung nichts an der Qualifikation als Endentscheid (vgl. FELIX UHLMANN, in: Basler Kommentar, Bundesgerichtsgesetz, 3. Aufl. 2018, N. 4 zu Art. 90 BGG ; BERNARD CORBOZ, in: Commentaire de la LTF, 2. Aufl. 2014, N. 10b zu Art. 90 BGG ). Soweit die Vorinstanz darauf hinweist, der Entscheid stehe letztlich unter dem Vorbehalt, dass das Bundesgericht in einem künftigen Verfahren keine Nichtigkeit der Kündigung annehme, da andernfalls dem Beschwerdeführer der Anspruch zustehe, dass der Regierungsrat nochmals wiedererwägungsweise über die Gewährung des Rechtsschutzes im Strafverfahren befinde, ändert dies nach Gesagtem nichts am Vorliegen eines Endentscheids.</w:t>
      </w:r>
    </w:p>
    <w:p>
      <w:r>
        <w:rPr>
          <w:b/>
        </w:rPr>
        <w:t>E. 1.4</w:t>
      </w:r>
    </w:p>
    <w:p>
      <w:r>
        <w:t>Bei vermögensrechtlichen Angelegenheiten auf dem Gebiet der öffentlich-rechtlichen Arbeitsverhältnisse ist zudem ein Streitwert von mindestens Fr. 15'000.- erforderlich ( Art. 85 Abs. 1 lit. b BGG ); erreicht der Streitwert nicht den massgebenden Betrag, so ist die Beschwerde dennoch zulässig, wenn sich eine Rechtsfrage von grundsätzlicher Bedeutung stellt ( Art. 85 Abs. 2 BGG ). Wenn das Begehren nicht auf Bezahlung einer bestimmten Geldsumme lautet, setzt das Bundesgericht den Streitwert nach Ermessen fest ( Art. 51 Abs. 2 BGG ). Die Frage der Gewährung von Rechtsschutz für Mitarbeitende in gerichtlichen Verfahren kann als Streitigkeit vermögensrechtlicher Natur (vgl. THOMAS HÄBERLI, in: Basler Kommentar, Bundesgerichtsgesetz, 3. Aufl. 2018, N. 169-171 zu Art. 83 BGG und N. 22 zu Art. 85 BGG ) qualifiziert werden. Mit dem Beschwerdeführer ist nämlich davon auszugehen, dass aus dem am xxx 2018 auf ihn erweiterten Strafverfahren, für welches er um personalrechtlichen Rechtsschutz ersuchte, voraussichtlich Kosten von mehr als Fr. 15'000.- erwachsen werden, nachdem bereits diverse Einvernahmen/Verhandlungen stattgefunden haben, mehrere Eingaben der Verteidigung eingereicht wurden und die Untersuchung noch nicht abgeschlossen ist.</w:t>
      </w:r>
    </w:p>
    <w:p>
      <w:r>
        <w:rPr>
          <w:b/>
        </w:rPr>
        <w:t>E. 1.5</w:t>
      </w:r>
    </w:p>
    <w:p>
      <w:r>
        <w:t>Da auch die übrigen Sachurteilsvoraussetzungen gegeben sind, kann auf die Beschwerde eingetreten werden.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w:t>
      </w:r>
    </w:p>
    <w:p>
      <w:r>
        <w:t>Da keine gesetzliche Ausnahme besteht ( Art. 95 lit. c-e BGG ), ist die Prüfungsbefugnis des Bundesgerichts gegenüber kantonalem Recht im vorliegenden Sachzusammenhang, wo sich keine bundesrechtlichen Vorgaben finden, auf die Verletzung verfassungsmässiger Rechte, insbesondere auf Willkür, beschränkt ( Art. 9 BV ).</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3.1</w:t>
      </w:r>
    </w:p>
    <w:p>
      <w:r>
        <w:t>Streitig und zu prüfen ist, ob das kantonale Gericht Bundesrecht verletzt hat, indem es die Ablehnung des Begehrens um Gewährung von personalrechtlichem Rechtsschutz für das am xxx 2018 eingeleitete Strafverfahren schützte.</w:t>
      </w:r>
    </w:p>
    <w:p>
      <w:r>
        <w:rPr>
          <w:b/>
        </w:rPr>
        <w:t>E. 3.2</w:t>
      </w:r>
    </w:p>
    <w:p>
      <w:r>
        <w:t>Der vorinstanzliche Entscheid stützt sich namentlich auf die Bestimmungen und Grundsätze des Personal- und Besoldungsgesetzes vom 26. Juni 1991 des Kantons Schwyz (Personalgesetz, PG; SRSZ 145.110) und der Personal- und Besoldungsverordnung vom 4. Dezember 2007 des Kantons Schwyz (Personalverordnung, PV; SRSZ 145.111), mithin auf kantonales Recht.</w:t>
      </w:r>
    </w:p>
    <w:p>
      <w:r>
        <w:rPr>
          <w:b/>
        </w:rPr>
        <w:t>E. 3.3</w:t>
      </w:r>
    </w:p>
    <w:p>
      <w:r>
        <w:t>So können Mitarbeiter des Kantons Schwyz, gegen die im Zusammenhang mit ihrer Aufgabenerfüllung ein gerichtliches Verfahren angehoben wird, gemäss § 27 Abs. 1 PG um Rechtsschutz nachsuchen. Der Regierungsrat entscheidet über Gewährung, Art und Umfang des Schutzes ( § 27 Abs. 2 PG ; § 5 Abs. 2 lit. e PV).</w:t>
      </w:r>
    </w:p>
    <w:p>
      <w:r>
        <w:rPr>
          <w:b/>
        </w:rPr>
        <w:t>E. 4.1</w:t>
      </w:r>
    </w:p>
    <w:p>
      <w:r>
        <w:t>Die Vorinstanz hat erkannt, die Abweisung des Begehrens um Gewährung von Rechtsschutz für das am xxx 2018 eröffnete Strafverfahren mit der Begründung, im Zeitpunkt der Eröffnung habe zwischen dem Beschwerdeführer und dem Kanton Schwyz kein Arbeitsverhältnis mehr bestanden, sei rechtens. Die Regelung von § 27 PG beinhalte einen erheblichen Entscheidungsspielraum für den Regierungsrat, wobei er bei dessen Handhabung die Verfassungsgrundsätze namentlich der Gleichbehandlung und der Verhältnismässigkeit, aber auch die generell bestehende Fürsorgepflicht zu beachten habe. Es liesse sich mit der ratio legis nicht vereinbaren - so das kantonale Gericht -, dass es dem Regierungsrat verwehrt sein sollte, bei nachträglichen Begehren um Rechtsschutz zwischen aktuellen und ehemaligen bzw. entlassenen Mitarbeitern zu unterscheiden. Dies gelte erst recht, wenn der entlassene Mitarbeiter in einem Rechtsstreit mit dem Kanton stehe und in diesem Rechtsstreit das betreffende Strafverfahren eine Rolle spielen könnte. Dass in einem solchen nachträglichen Strafverfahren anderen Mitarbeitern, welche weiterhin für den Kanton tätig seien, Rechtsschutz gewährt werde, stelle keine Verletzung des Rechtsgleichheitsgebotes dar.</w:t>
      </w:r>
    </w:p>
    <w:p>
      <w:r>
        <w:rPr>
          <w:b/>
        </w:rPr>
        <w:t>E. 4.2</w:t>
      </w:r>
    </w:p>
    <w:p>
      <w:r>
        <w:t>Die Vorbringen in der Beschwerde lassen die vorinstanzliche Beurteilung nicht als willkürlich oder sonstwie bundesrechtswidrig erscheinen:</w:t>
      </w:r>
    </w:p>
    <w:p>
      <w:r>
        <w:rPr>
          <w:b/>
        </w:rPr>
        <w:t>E. 4.2.1</w:t>
      </w:r>
    </w:p>
    <w:p>
      <w:r>
        <w:t>Der Beschwerdeführer rügt zunächst, die Vorinstanz habe seinen Anspruch auf rechtliches Gehör verletzt, weil ihr Entscheid nicht den Begründungsanforderungen genüge. Diesem Einwand kann nicht gefolgt werden. Der Anspruch auf rechtliches Gehör nach Art. 29 Abs. 2 BV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mit Hinweisen). Die Vorinstanz hat im angefochtenen Entscheid hinreichend dargelegt, von welchen Überlegungen sie sich hat leiten lassen und worauf sie ihren Entscheid stützt. Dies gilt namentlich in Bezug auf die Differenzierung zwischen aktuellen und ehemaligen bzw. entlassenen Mitarbeiterinnen und Mitarbeitern.</w:t>
      </w:r>
    </w:p>
    <w:p>
      <w:r>
        <w:rPr>
          <w:b/>
        </w:rPr>
        <w:t>E. 4.2.2</w:t>
      </w:r>
    </w:p>
    <w:p>
      <w:r>
        <w:t>Soweit der Beschwerdeführer - wie bereits im vorinstanzlichen Verfahren - die Unterscheidung zwischen aktuellen und ehemaligen bzw. entlassenen Mitarbeitern als willkürlich und den Grundsatz der Rechtsgleichheit verletzend kritisiert, beschränkt er sich im Wesentlichen darauf, erneut seine Sicht der Dinge darzulegen. Dies stellt eine unzulässige appellatorische Kritik dar, auf die nicht näher einzugehen ist. Wie das kantonale Gericht für das Bundesgericht grundsätzlich verbindlich festgestellt hat, war das Arbeitsverhältnis zwischen dem Kanton Schwyz und dem Beschwerdeführer per 30. September 2017 beendet worden und Letzterer daher im Zeitpunkt der Eröffnung des Strafverfahrens am xxx 2018 und der Einreichung des Begehrens um Gewährung von Rechtsschutz am 2. August 2018 nicht mehr Mitarbeiter des Kantons. Die Vorinstanz hat sich sodann mit der ratio legis von § 27 PG auseinandergesetzt und hat, wie bereits der Regierungsrat, mit der Unterscheidung in aktuelle und ehemalige bzw. entlassene Mitarbeiter ein sachliches Kriterium für die Gewährung von Rechtsschutz angewendet. Dass allenfalls auch eine andere Lösung vertretbar oder gar zutreffender erscheinen würde, genügt wie dargelegt nicht, um Willkür zu begründen.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