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8C_322/2024 vom 18. Dezember 2024</w:t>
      </w:r>
    </w:p>
    <w:p>
      <w:r>
        <w:t>Bundesgericht, 2024-12-18, DE</w:t>
      </w:r>
    </w:p>
    <w:p>
      <w:r>
        <w:rPr>
          <w:b/>
        </w:rPr>
        <w:t xml:space="preserve">Quelle: </w:t>
      </w:r>
      <w:r>
        <w:t>https://mcp.opencaselaw.ch/entscheid/bger_8C_322_2024</w:t>
      </w:r>
    </w:p>
    <w:p>
      <w:r>
        <w:t>FR: TF 8C_322/2024 du 18 décembre 2024</w:t>
      </w:r>
    </w:p>
    <w:p>
      <w:r>
        <w:t>IT: TF 8C_322/2024 del 18 dicembre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Beachtung des Untersuchungsgrundsatzes und der Beweiswürdigungsregeln nach Art. 61 lit. c ATSG stellt eine Rechtsfrage dar. Ebenfalls rechtlicher Natur und darum frei überprüfbar sind die Fragen, ob die rechtserheblichen Tatsachen vollständig festgestellt wurden und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8C_385/2023 vom 30. November 2023 E. 1.2 mit Hinweis).</w:t>
      </w:r>
    </w:p>
    <w:p>
      <w:r>
        <w:rPr>
          <w:b/>
        </w:rPr>
        <w:t>E. 2</w:t>
      </w:r>
    </w:p>
    <w:p>
      <w:r>
        <w:t>Streitig ist, ob die Vorinstanz Bundesrecht verletzt hat, indem sie in teilweiser Gutheissung der gegen die Verfügung der IV-Stelle vom 21. Juni 2023 erhobenen Beschwerde nur für die - mit angefochtenem Urteil um zwei Monate verlängerte - Zeit vom 1. März 2021 bis 31. Mai 2022 einen Anspruch auf eine ganze Invalidenrente bejahte.</w:t>
      </w:r>
    </w:p>
    <w:p>
      <w:r>
        <w:rPr>
          <w:b/>
        </w:rPr>
        <w:t>E. 3.1</w:t>
      </w:r>
    </w:p>
    <w:p>
      <w:r>
        <w:t>Am 1. Januar 2022 trat das revidierte Bundesgesetz über die Invalidenversicherung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 Dementsprechend ist nach der bis zum 31. Dezember 2021 geltenden Rechtslage zu beurteilen, ob bis zu jenem Zeitpunkt eine rentenrelevante Änderung eingetreten ist. In diesem Sinne legt Rz. 9102 des Kreisschreibens des BSV über Invalidität und Rente in der Invalidenversicherung (KSIR) für erstmalig abgestufte bzw. befristete Rentenzusprachen und Revisionsfälle nach Art. 17 ATSG Folgendes fest: Ereignete sich die massgebliche Änderung vor dem 1. Januar 2022, so finden die Bestimmungen des IVG und diejenigen der IVV in der bis 31. Dezember 2021 gültigen Fassung Anwendung. Fand sie hingegen später statt, so sind die ab 1. Januar 2022 geltenden Bestimmungen des IVG und diejenigen der IVV heranzuziehen. Der Zeitpunkt der relevanten Änderung bestimmt sich nach Art. 88a IVV (Urteil 8C_649/2023 vom 6. August 2024 E. 3.1).</w:t>
      </w:r>
    </w:p>
    <w:p>
      <w:r>
        <w:rPr>
          <w:b/>
        </w:rPr>
        <w:t>E. 3.2</w:t>
      </w:r>
    </w:p>
    <w:p>
      <w:r>
        <w:t>Den von Versicherungsträgern im Verfahren nach Art. 44 ATSG eingeholten, den Anforderungen der Rechtsprechung genügenden Gutachten externer Spezialärzte (Administrativgutachten) darf voller Beweiswert zuerkannt werden, solange nicht konkrete Indizien gegen die Zuverlässigkeit der Expertise sprechen ( BGE 137 V 210 E. 1.3.4; 135 V 465 E. 4.4). Auf das Ergebnis versicherungsinterner ärztlicher Abklärungen - zu denen die Berichte des Regionalen Ärztlichen Dienstes (RAD) gehören - kann (ohne Einholung eines externen Gutachtens) nicht abgestellt werden, wenn auch nur geringe Zweifel an ihrer Zuverlässigkeit und Schlüssigkeit bestehen ( BGE 139 V 225 E. 5.2; 135 V 465 E. 4.4 i.f.; SVR 2018 IV Nr. 4 S. 11, 8C_839/2016 E. 3.2; Urteil 8C_649/2023 vom 6. August 2024 E. 3.2 mit Hinweis).</w:t>
      </w:r>
    </w:p>
    <w:p>
      <w:r>
        <w:rPr>
          <w:b/>
        </w:rPr>
        <w:t>E. 4.1</w:t>
      </w:r>
    </w:p>
    <w:p>
      <w:r>
        <w:t>Gemäss angefochtenem Urteil ist auf die reinen Aktenbeurteilungen des RAD-Orthopäden Dr. med. F.________ vom 11. Mai 2022 und 23. Februar 2023 als beweiskräftige Grundlage zur Feststellung des Gesundheitszustandes, des zumutbaren Leistungsprofils und der diesbezüglichen gesundheitsbedingten Einschränkungen der Leistungsfähigkeit abzustellen. Folglich sei in einer angepassten Tätigkeit ab Mitte Dezember 2021 von einer Arbeitsfähigkeit von 50% und einer anschliessenden monatlichen Steigerung um 10% auszugehen, so dass die Beschwerdeführerin ab Mitte Mai 2022 leidensangepasst wieder zu 100% arbeitsfähig gewesen sei. Obwohl Dr. med. F.________ die Beschwerdeführerin nie selber untersucht habe, seien seine Stellungnahmen schlüssig und plausibel begründet, weshalb in antizipierter Beweiswürdigung auf weitere Abklärungen zu verzichten sei.</w:t>
      </w:r>
    </w:p>
    <w:p>
      <w:r>
        <w:rPr>
          <w:b/>
        </w:rPr>
        <w:t>E. 4.2</w:t>
      </w:r>
    </w:p>
    <w:p>
      <w:r>
        <w:t>Demgegenüber rügt die Beschwerdeführerin, die Vorinstanz und die Beschwerdegegnerin hätten den Untersuchungsgrundsatz verletzt, indem sie zur Feststellung des rechtserheblichen Sachverhalts hinsichtlich der gesundheitlich begründeten Einschränkungen der Leistungsfähigkeit in leidensangepasster Tätigkeit allein auf die Aktenbeurteilungen des RAD-Arztes Dr. med. F.________ abgestellt hätten. Zwar habe er die Untersuchungsmethoden der behandelnden Ärzte in disqualifizierender Weise beanstandet, jedoch trotzdem weder eine persönliche Untersuchung der Beschwerdeführerin vorgenommen noch eine versicherungsmedizinische Begutachtung veranlasst. Während der Leitende Arzt der Wirbelsäulenchirurgie des Spital G.________ Dr. med. H.________ nach dem operativen Eingriff vom 7. September 2021 die danach persistierende rechtsseitige S1-Radikulopathie als neuropathische Beschwerden in einem Zusammenhang mit einer rechtsseitig ödematös-veränderten S1-Wurzel interpretiert habe, sei auch Dr. med. I.________ trotz des bildmorphologisch nicht klaren Nachweises, am ehesten von einer möglichen neuropathischen Beschwerdesituation ausgegangen. Der Neurochirurg Dr. med. J.________ habe demgegenüber auf die nachweisbare organische Ursache der geklagten Schmerzen verwiesen, wobei "Pathogenese und Ätiologie der vorliegenden Gesundheitsstörung" schlüssig und nachvollziehbar erklärt werden könnten. Angesichts der übrigen Gesundheitsstörungen (beginnende Fingerarthrose und psychische Beschwerden) dränge sich eine interdisziplinäre Begutachtung auf. Indem das kantonale Gericht und die IV-Stelle bei gegebener Aktenlage geringe Zweifel an den RAD-ärztlichen Aktenbeurteilungen verneint und in antizipierter Beweiswürdigung auf ergänzende Abklärungen verzichteten, hätten sie das Willkürverbot verletzt.</w:t>
      </w:r>
    </w:p>
    <w:p>
      <w:r>
        <w:rPr>
          <w:b/>
        </w:rPr>
        <w:t>E. 4.3.1</w:t>
      </w:r>
    </w:p>
    <w:p>
      <w:r>
        <w:t>Die Vorinstanz erachtete die Aktenbeurteilung des RAD-Arztes bezüglich des Belastbarkeitsprofils einer angepassten Tätigkeit und der diesbezüglich zumutbaren Leistungsfähigkeit für überzeugend. Dies tat sie, obwohl er sich in seiner Beurteilung vom 23. Februar 2023 nur mit einem einzigen Satz zum ausführlichen Bericht der Hausärztin Dr. med. K.________ vom 23. Dezember 2022 äusserte, ohne unter anderem zur laufenden psychotherapeutischen Behandlung oder zu den detaillierten Angaben hinsichtlich des Belastbarkeitsprofils Stellung zu nehmen. Mit Blick auf die sich auch in Bezug auf die Auswirkungen der Gesundheitsstörungen auf die Arbeitsfähigkeit widersprechenden reinen Aktenbeurteilungen des RAD-Arztes einerseits und der deutlich davon abweichenden Beurteilungen der behandelnden Ärzte andererseits hätte ein versicherungsexternes Gutachten zur Beantwortung der Frage nach der Feststellung der Gesundheitsschäden und deren Auswirkungen auf die Leistungsfähigkeit eingeholt werden müssen (vgl. SVR 2023 UV Nr. 20 S. 63, 8C_410/2022 E. 6.2 und 7.2 i.f.).</w:t>
      </w:r>
    </w:p>
    <w:p>
      <w:r>
        <w:rPr>
          <w:b/>
        </w:rPr>
        <w:t>E. 4.3.2</w:t>
      </w:r>
    </w:p>
    <w:p>
      <w:r>
        <w:t>Von einer rechtsgenüglichen Einschätzung der Arbeitsfähigkeit kann nach dem Gesagten unter keinem Titel gesprochen werden (vgl. hiervor E. 3.2). Die vorhandenen medizinischen Akten bieten - entgegen der Vorinstanz - keine zuverlässige Grundlage, um die Arbeitsfähigkeit in einer angepassten Tätigkeit festzustellen und über den Rentenanspruch zu befinden. Diesem Umstand hat die Vorinstanz in Verletzung des ihr obliegenden Untersuchungsgrundsatzes ( Art. 61 lit. c ATSG ; vgl. E. 1.2 hiervor) nicht Rechnung getragen. Infolge des unvollständig erhobenen rechtserheblichen Sachverhalts ist die Angelegenheit an die IV-Stelle zurückzuweisen, damit sie im Verfahren nach Art. 44 ATSG ein interdisziplinäres Gutachten zu den gesundheitsbedingten Einschränkungen der Leistungsfähigkeit und deren Entwicklung seit der Anmeldung zum Leistungsbezug in die Wege leitet. Hernach wird sie erneut über den Leistungsanspruch zu entscheiden haben.</w:t>
      </w:r>
    </w:p>
    <w:p>
      <w:r>
        <w:rPr>
          <w:b/>
        </w:rPr>
        <w:t>E. 4.4</w:t>
      </w:r>
    </w:p>
    <w:p>
      <w:r>
        <w:t>Die Sache ist an die Beschwerdegegnerin zurückzuweisen (Urteil 8C_127/2021 vom 4. November 2021 E. 4.2.4). Diese hat die Beschwerdeführerin begutachten zu lassen, um danach neu über die strittigen Ansprüche zu entscheiden.</w:t>
      </w:r>
    </w:p>
    <w:p>
      <w:r>
        <w:rPr>
          <w:b/>
        </w:rPr>
        <w:t>E. 5.1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Urteil 8C_649/2023 vom 6. August 2024 E. 9.1). Die Gerichtskosten sind mithin der unterliegenden Beschwerdegegnerin aufzuerlegen. Diese hat der anwaltlich vertretenen Beschwerdeführerin eine Parteientschädigung auszurichten.</w:t>
      </w:r>
    </w:p>
    <w:p>
      <w:r>
        <w:rPr>
          <w:b/>
        </w:rPr>
        <w:t>E. 5.2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