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322/2022 vom 30. Januar 2023</w:t>
      </w:r>
    </w:p>
    <w:p>
      <w:r>
        <w:t>Bundesgericht, 2023-01-30, FR</w:t>
      </w:r>
    </w:p>
    <w:p>
      <w:r>
        <w:rPr>
          <w:b/>
        </w:rPr>
        <w:t xml:space="preserve">Quelle: </w:t>
      </w:r>
      <w:r>
        <w:t>https://mcp.opencaselaw.ch/entscheid/bger_8C_322_2022</w:t>
      </w:r>
    </w:p>
    <w:p>
      <w:r>
        <w:t>FR: TF 8C 322/2022 du 30 janvier 2023</w:t>
      </w:r>
    </w:p>
    <w:p>
      <w:r>
        <w:t>IT: TF 8C 322/2022 del 30 gennaio 2023</w:t>
      </w:r>
    </w:p>
    <w:p>
      <w:pPr>
        <w:pStyle w:val="Heading2"/>
      </w:pPr>
      <w:r>
        <w:t>Regeste</w:t>
      </w:r>
    </w:p>
    <w:p>
      <w:r>
        <w:t>Assurance-chômage (indemnité en cas de réduction de l'horaire de travail)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3</w:t>
      </w:r>
    </w:p>
    <w:p>
      <w:r>
        <w:t>Le litige porte sur le point de savoir si la juridiction cantonale a violé le droit fédéral en confirmant le refus de l'intimée d'octroyer à la recourante des indemnités en cas de RHT dès le 1 er avril 2020.</w:t>
      </w:r>
    </w:p>
    <w:p>
      <w:r>
        <w:rPr>
          <w:b/>
        </w:rPr>
        <w:t>E. 4.1</w:t>
      </w:r>
    </w:p>
    <w:p>
      <w:r>
        <w:t>Selon l' art. 31 al. 1 LACI (RS 837.0), les travailleurs dont la durée normale du travail est réduite ou l'activité suspendue ont droit à l'indemnité en cas de réduction de l'horaire de travail lorsque: ils sont tenus de cotiser à l'assurance ou qu'ils n'ont pas encore atteint l'âge minimum de l'assujettissement aux cotisations AVS (let. a); la perte de travail doit être prise en considération ( art. 32 LACI ; let. b); le congé n'a pas été donné (let. c); la réduction de l'horaire de travail est vraisemblablement temporaire, et si l'on peut admettre qu'elle permettra de maintenir les emplois en question (let. d). L' art. 32 let. a et b LACI précise que la perte de travail est prise en considération lorsqu'elle est due à des facteurs d'ordre économique et est inévitable et qu'elle est d'au moins 10 % de l'ensemble des heures normalement effectuées par les travailleurs de l'entreprise.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première phrase, LACI). Le Conseil fédéral a ainsi notamment prévu à l' art. 51 al. 1 OACI (RS 837.02) que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w:t>
      </w:r>
    </w:p>
    <w:p>
      <w:r>
        <w:rPr>
          <w:b/>
        </w:rPr>
        <w:t>E. 4.2.1</w:t>
      </w:r>
    </w:p>
    <w:p>
      <w:r>
        <w:t>Selon la jurisprudence, l'indemnité en cas de RHT est une mesure préventive au sens large: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RHT ne sauraient être remplies si l'employeur est une entreprise de droit public, faute pour celle-ci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RHT. Ce qui est déterminant en fin de compte, conformément à la finalité du régime de la prestation, c'est de savoir si, par l'allocation de l'indemnité en cas de RHT, un licenciement peut être évité ( ATF 121 V 362 consid. 3a et les références).</w:t>
      </w:r>
    </w:p>
    <w:p>
      <w:r>
        <w:rPr>
          <w:b/>
        </w:rPr>
        <w:t>E. 4.2.2</w:t>
      </w:r>
    </w:p>
    <w:p>
      <w:r>
        <w:t>C'est à brève échéance que le versement de l'indemnité en cas de RHT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 art. 32 al. 1 let. a LACI ,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 ATF 121 V 362 précité consid. 3b et les références).</w:t>
      </w:r>
    </w:p>
    <w:p>
      <w:r>
        <w:rPr>
          <w:b/>
        </w:rPr>
        <w:t>E. 4.3.1</w:t>
      </w:r>
    </w:p>
    <w:p>
      <w:r>
        <w:t>Dans le cadre des mesures prises par le Conseil fédéral dans le domaine de l'assurance-chômage en lien avec la pandémie de coronavirus (Covid-19), le SECO a rédigé des directives destinées à préciser les conditions d'octroi des prestations de l'assurance-chômage dans ce contexte.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 ATF 148 V 102 consid. 4.2; 146 V 224 consid. 4.4. et l'arrêt cité). En principe, il convient de tenir compte de la version qui était à la disposition de l'autorité de décision au moment de la décision (et qui a déployé un effet contraignant à son égard); des compléments ultérieurs peuvent éventuellement être pris en compte, notamment s'ils permettent de tirer des conclusions sur une pratique administrative déjà appliquée auparavant (cf. ATF 147 V 278 consid. 2.2 et les références).</w:t>
      </w:r>
    </w:p>
    <w:p>
      <w:r>
        <w:rPr>
          <w:b/>
        </w:rPr>
        <w:t>E. 4.3.2</w:t>
      </w:r>
    </w:p>
    <w:p>
      <w:r>
        <w:t>Sous l'intitulé "Préavis des fournisseurs de prestations publiques (employeurs publics, administrations, etc.) ", la directive du SECO 2020/8 du 1er juin 2022 (tout comme les directives suivantes) prévoit ce qui suit: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de la RHT en cas de suspension temporaire de cette fourniture de prestations revient à répercuter les coûts du salaire sur le fonds de l'AC sans que le risque de licenciements à court terme pour ces entreprises publiques-privées,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la RHT en cas de chute du chiffre d'affaires (p. ex. bus touristiques), et un secteur d'exploitation pour lequel aucun droit à la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[l'autorité cantonale compétente]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w:t>
      </w:r>
    </w:p>
    <w:p>
      <w:r>
        <w:rPr>
          <w:b/>
        </w:rPr>
        <w:t>E. 5.1</w:t>
      </w:r>
    </w:p>
    <w:p>
      <w:r>
        <w:t>En l'espèce, la cour cantonale a dans un premier temps distingué la règlementation en matière de transport public régional de voyageurs de celle applicable en matière de transport urbain. S'agissant du transport régional, elle a relevé que les entreprises de transports publics soumettaient aux commanditaires des offres pour deux années d'horaires et y attestaient pour chaque ligne les coûts planifiés ainsi que les produits attendus issus de la vente de titres de transport; les commanditaires (Confédération et cantons) indemnisaient, selon une clé de répartition prédéfinie (art. 30 de la loi du 20 mars 2009 sur le transport de voyageurs [LTV; RS 745.1]), les coûts non couverts conformément aux offres ( art. 28 al. 1 LTV ). En cas d'écart entre les coûts planifiés et les produits, les excédents éventuels étaient attribués à raison d'au moins deux tiers à une réserve à affectation obligatoire. Cette réserve spéciale ne pouvait être utilisée que pour éponger d'éventuels futurs déficits (cf. art. 36 LTV ). Pour l'année 2020, le déficit planifié à la charge de la Confédération et du canton de Vaud s'élevait à 5'689'533 fr. et devait être pris en charge à hauteur de 47 % par la Confédération et de 53 % par le canton de Vaud (cf. art. 8 de la convention de subventionnement entre le canton de Vaud et la recourante relative à l'offre sur les prestations du secteur du trafic régional des voyageurs [TRV] et son indemnisation, applicable à la période d'horaire 2020/2021). En matière de transport urbain, la cour cantonale a relevé que les prestations de transport n'étaient pas indemnisées par la Confédération, mais par les cantons et les communes, en fonction de la législation spécifique à chaque canton. Dans le canton de Vaud, la participation cantonale était, conformément à l'art. 18 de la loi cantonale du 11 décembre 1990 sur la mobilité et les transports publics (LMTP; BLV 740.21), limitée à 50 % du déficit d'exploitation au plus, mais elle ne pouvait pas dépasser au maximum la somme des montants suivants: le 50 % des intérêts des emprunts, garantis par l'État et les communes; le 50 % des amortissements comptables des installations et équipements; et le 12,5 % des autres charges d'exploitation, y compris les intérêts sur les engagements courants. Le solde des coûts était à la charge des communes, après déduction de l'intégralité des recettes (cf. art. 17 LMTP). Pour l'année 2020, le déficit planifié s'élevait à 5'305'816 fr. et devait être pris en charge à hauteur de 1'134'176 fr. par le canton de Vaud, le solde étant à la charge des communes selon accord (cf. art. 5 de la convention de subventionnement entre le canton de Vaud et la recourante relative à l'offre sur les prestations du secteur du trafic local [urbain] des voyageurs et son indemnisation, applicable à l'année d'horaire 2020).</w:t>
      </w:r>
    </w:p>
    <w:p>
      <w:r>
        <w:rPr>
          <w:b/>
        </w:rPr>
        <w:t>E. 5.2</w:t>
      </w:r>
    </w:p>
    <w:p>
      <w:r>
        <w:t>Dans un second temps, la juridiction cantonale a retenu que les mesures de lutte contre le coronavirus et la déclaration de la "situation extraordinaire" conformément à la loi du 28 septembre 2012 sur la lutte contre les maladies transmissibles de l'homme (loi sur les épidémies, LEp; RS 818.101) avaient eu des incidences massives sur les transports publics; en raison de la recommandation urgente du Conseil fédéral de rester à la maison et de limiter autant que possible la mobilité, la demande en offres de transports publics avait subi une baisse allant jusqu'à 80 % (cf. Message du 12 août 2020 concernant la loi urgente sur le soutien des transports publics durant la crise du COVID-19, FF 2020 6493, 6498). En outre, d'après le rapport de gestion 2020 de la recourante, celle-ci avait, dans le cadre des mesures d'endiguement du coronavirus, réduit son offre conformément aux recommandations des autorités fédérales, en adaptant l'ensemble de son offre de transports. Dans un premier temps, soit du 23 mars au 4 avril 2020, les bus avaient circulé du lundi au samedi selon l'horaire réduit du samedi, avec des suppressions de courses les nuits de vendredi à samedi et de samedi à dimanche. Puis, dès le 6 avril 2020, l'horaire du dimanche avait été appliqué à tout le réseau jusqu'au 10 mai 2020. Quant à l'offre de nuit, elle avait été interrompue du 20 mars au 3 juillet 2020. Les premiers juges ont alors constaté que la réduction de l'offre de transports publics durant la période de confinement avait entraîné des pertes de recettes, lesquelles n'avaient plus permis aux entreprises de transports publics de couvrir les coûts fixes planifiés. Compte tenu des mécanismes de financement mis en place, il appartenait à la recourante elle-même s'agissant du transport public régional de voyageurs, respectivement au canton et aux communes s'agissant du transport urbain, de couvrir le déficit provoqué par cette chute de recettes. Dans la mesure où l'État et les communes subventionnaient des entités privées devant effectuer une tâche publique, ils devaient mettre à disposition les fonds nécessaires afin d'assurer leur équilibre financier. La cour cantonale a indiqué que l'on pouvait se demander si la recourante ne disposait pas d'une garantie de déficits plus étendue. Elle a toutefois laissé cette question indécise dans la mesure où l'on pouvait d'emblée considérer qu'il n'y avait pas de risque de fermeture de l'exploitation, ni de menace sur l'emploi. En effet, la cour cantonale a considéré que la recommandation urgente du Conseil fédéral de rester à la maison et de limiter autant que possible ses déplacements n'était pas de nature à remettre en cause, dans son principe, l'offre convenue avec les commanditaires (Confédération, canton et communes). Même si la durée des restrictions mises en place n'était pas prévisible, les activités de la recourante allaient nécessairement reprendre à plus ou moins court terme dans les limites convenues dans les conventions de prestations, dans la mesure où l'offre répondait aux besoins de la vie sociale et économique de la zone concernée. Aussi, les personnes touchées par les mesures de réduction de l'horaire de travail ne couraient aucun risque économique. Il ressortait du dossier qu'au moment du prononcé de la décision attaquée, la recourante n'avait d'ailleurs pas rendu vraisemblable qu'elle serait exposée à court terme à des pertes de revenus suffisamment importantes pour mettre en cause les emplois. Compte tenu des obligations auxquelles elle était tenue en vertu des conventions signées avec les commanditaires, elle n'avait objectivement pas la possibilité - même si les dispositions contractuelles applicables autorisaient en tout temps des licenciements pour motif économique - de procéder au licenciement de ses collaborateurs, au risque sinon de ne pas pouvoir remplir les mandats de prestations au moment où les restrictions d'activités seraient levées. En tout état de cause, une redéfinition de l'offre de prestations de la part des commanditaires, respectivement un ajustement des effectifs de la part de l'entreprise de transport, en raison d'un événement tel que la crise du coronavirus ne pourraient valoir que pour le futur et ne sauraient remettre en cause la validité des conventions en cours.</w:t>
      </w:r>
    </w:p>
    <w:p>
      <w:r>
        <w:rPr>
          <w:b/>
        </w:rPr>
        <w:t>E. 6.1</w:t>
      </w:r>
    </w:p>
    <w:p>
      <w:r>
        <w:t>La recourante se plaint de la violation de son droit d'être entendue, soulevant ainsi un grief de nature formelle qu'il convient d'examiner en premier lieu dans la mesure où il est susceptible d'entraîner l'annulation de la décision attaquée indépendamment des chances de succès du recours sur le fond ( ATF 141 V 495 consid. 2.2 et les arrêts cités). Elle reproche à la juridiction cantonale d'avoir procédé, sous réserve de quelques changements, à un "copier/coller" de la partie en droit d'un arrêt cantonal (arrêt ACH 36/21 - 145/2021 du 28 juillet 2021) rendu dans une cause semblable, laquelle avait d'ailleurs justifié la suspension de la procédure de recours la concernant. Elle en déduit que ses déterminations sur la suite qu'elle entendait donner à la procédure ensuite de l'arrêt en question et dans lesquelles elle a critiqué ce même arrêt n'auraient absolument pas été prises en compte.</w:t>
      </w:r>
    </w:p>
    <w:p>
      <w:r>
        <w:rPr>
          <w:b/>
        </w:rPr>
        <w:t>E. 6.2</w:t>
      </w:r>
    </w:p>
    <w:p>
      <w:r>
        <w:t>Le droit d'être entendu, au sens invoqué par la recourante, impose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 ATF 146 II 335 consid. 5.1; 143 III 65 consid. 5.2). Elle n'a pas l'obligation d'exposer et de discuter tous les faits, moyens de preuve et griefs invoqués par les parties, mais peut au contraire se limiter à ceux qui, sans arbitraire, peuvent être tenus pour pertinents ( ATF 142 II 154 consid. 4.2). En l'occurrence, les déterminations en question de la recourante, déposées le 21 octobre 2021, ont été résumées dans la partie en fait de l'arrêt attaqué. Cela étant, on peut d'emblée exclure que l'autorité précédente ait omis d'en prendre connaissance (cf., a contrario, arrêt 9C_439/2016 du 6 janvier 2017 consid. 3). Comme mentionné plus haut, l'autorité saisie n'a pas à s'exprimer sur tous les griefs soulevés, en particulier sur ceux qui ne lui paraissent pas pertinents, ou n'est pas tenue de le faire de façon expresse et circonstanciée. En l'espèce, on discerne clairement les motifs qui ont guidé l'arrêt entrepris (cf. consid. 5 supra) et, compte tenu de l'acte de recours, la recourante a bel et bien été en mesure d'en saisir la portée et de l'attaquer en connaissance de cause. Le point de savoir si les critiques soulevées dans ses déterminations du 21 octobre 2021 étaient ou non pertinentes relève du fond. Le grief tiré de la violation de son droit d'être entendue doit dès lors être écarté.</w:t>
      </w:r>
    </w:p>
    <w:p>
      <w:r>
        <w:rPr>
          <w:b/>
        </w:rPr>
        <w:t>E. 7.1</w:t>
      </w:r>
    </w:p>
    <w:p>
      <w:r>
        <w:t>Sur le fond, la recourante soutient qu'elle aurait droit à l'indemnité en cas de RHT. Elle invoque, d'une part, l'absence de garantie de déficit par les pouvoirs publics et, d'autre part, l'existence d'un risque concret pour les emplois. Répondant à la question laissée indécise par les premiers juges, la recourante soutient que, tant pour le trafic régional de voyageurs que pour le trafic urbain, le déficit effectif causé par la pandémie de coronavirus ne sera pas pris en charge par une quelconque subvention. Contrairement aux causes à l'origine des arrêts 8C_558/2021 et 8C_559/2021 du 20 janvier 2022, ni la loi ni le texte des conventions de subventionnement applicables en l'espèce n'imposeraient une garantie de déficit, les subventions n'étant pas liées au coût effectif d'exploitation. Ensuite, la recourante critique le raisonnement des juges cantonaux, en tant que ceux-ci ont retenu qu'elle n'aurait pas rendu vraisemblable l'exposition, à court terme, à des pertes de revenus suffisamment importantes pour mettre en cause les emplois, alors qu'ils ont admis que la réduction de l'offre avait entraîné des pertes de recettes qui n'avaient plus permis aux entreprises de transports publics de couvrir les coûts fixes en matière d'infrastructure et de personnel. En outre, la juridiction cantonale considérerait à tort qu'il serait objectivement impossible de ne pas respecter un mandat de prestation publique, contrairement à un autre mandat de droit privé. Ce point de vue serait manifestement inexact sous l'angle de la clausula rebus sic stantibus. La recourante conteste qu'en raison de leur mandat de droit public, les entreprises de transports publics n'auraient pas la possibilité de réduire leur masse salariale. Selon elle, l'existence de subventions et d'un mandat de service public ne constituerait pas en soi un obstacle dirimant à l'obtention de l'indemnité en cas de RHT.</w:t>
      </w:r>
    </w:p>
    <w:p>
      <w:r>
        <w:rPr>
          <w:b/>
        </w:rPr>
        <w:t>E. 7.2</w:t>
      </w:r>
    </w:p>
    <w:p>
      <w:r>
        <w:t>Comme on l'a vu (cf. consid. 4 supra), les entreprises qui fournissent des prestations publiques ne sont pas en tant que telles exclues du cercle des potentiels bénéficiaires du droit à l'indemnité en cas de RHT. Pour ces entreprises, on reconnaît un risque de disparition d'emplois si, en cas de recul de la demande ou de réduction de l'offre chez le mandataire, il n'existe pas de garantie que les coûts d'exploitation seront entièrement couverts, et si les entreprises concernées ont la possibilité de procéder à des licenciements à brève échéance dans l'objectif de faire baisser les coûts d'exploitation. En l'espèce, si la réduction du temps de travail du personnel roulant et technique touche des secteurs de la recourante dans lesquels il n'y a pas de garantie d'une couverture complète des coûts d'exploitation, celle-ci supporterait, comme toute entreprise privée, un risque d'exploitation ou de faillite correspondant, auquel une telle entreprise ferait face par des licenciements (cf. arrêt 8C_769/2021 du 3 mai 2022 consid. 6, qui concerne également une entreprise de transport public). Or, dans l'arrêt entrepris, la cour cantonale n'a pas clairement tranché la question de la couverture des coûts d'exploitation, en tout cas s'agissant du trafic régional. Elle a en effet retenu à cet égard qu'il appartenait à la recourante de couvrir le déficit provoqué par la chute des recettes, tout en évoquant la possibilité d'une garantie de déficit plus étendue. En outre, le fait de percevoir des subventions ne signifie pas encore que les coûts d'exploitation sont entièrement couverts par les pouvoirs publics (cf. arrêt 8C_157/2022 du 8 septembre 2022 consid. 3.4.1). Enfin, la possibilité de procéder à des licenciements à brève échéance s'examine non pas au regard de la main d'oeuvre nécessaire pour fournir les prestations publiques selon l'offre soumise aux commanditaires, mais au regard de la règlementation applicable au personnel (cf. consid. 4.3.2 supra). L'arrêt attaqué ne dit rien à ce propos quand bien même la recourante a produit la documentation appropriée dans le cadre de son opposition. La cour cantonale a donc violé le droit fédéral en niant le droit de la recourante aux indemnités en cas de RHT sans instruire et examiner de manière approfondie l'étendue de la couverture des frais d'exploitation par les pouvoirs publics ainsi que les possibilités concrètes de résiliation sur la base du régime applicable au personnel.</w:t>
      </w:r>
    </w:p>
    <w:p>
      <w:r>
        <w:rPr>
          <w:b/>
        </w:rPr>
        <w:t>E. 7.3</w:t>
      </w:r>
    </w:p>
    <w:p>
      <w:r>
        <w:t>Vu ce qui précède, il n'est pas nécessaire d'examiner plus avant le dernier grief de la recourante, selon lequel le refus de la prestation constituerait un transfert illicite des charges entre la Confédération et les cantons. Quant au fait que le Conseil fédéral a, par le biais de l'ordonnance du 20 mars 2020 sur les mesures dans le domaine de l'assurance-chômage en lien avec le coronavirus (RS 837.033), provisoirement étendu le droit aux indemnités en cas de réduction de l'horaire de travail à des catégories d'employés ne courant pas de risque de licenciement, il ne saurait signifier qu'un droit à l'indemnité en cas de RHT doit être reconnu à la recourante indépendamment de la réalisation des conditions matérielles d'octroi de la prestation, comme l'a relevé à juste titre la cour cantonale.</w:t>
      </w:r>
    </w:p>
    <w:p>
      <w:r>
        <w:rPr>
          <w:b/>
        </w:rPr>
        <w:t>E. 8</w:t>
      </w:r>
    </w:p>
    <w:p>
      <w:r>
        <w:t>Par conséquent, le recours doit être partiellement admis et la cause renvoyée à la juridiction cantonale pour qu'elle prenne une nouvelle décision après avoir examiné le droit aux prestations sur la base d'un examen complet des questions déterminantes (cf. consid. 7.2 supra). En ce qui concerne la répartition des frais judiciaires et des dépens, le renvoi de la cause pour nouvel examen et décision revient à obtenir gain de cause au sens des art. 66 al. 1 et 68 al. 1 et 2 LTF ( ATF 141 V 281 consid. 11.1; 137 V 210 consid. 7.1 et les références). Bien qu'elle succombe, l'intimée ne peut pas se voir imposer des frais judiciaires ( art. 66 al. 4 LTF ; ATF 133 V 640 consid. 4.5). La recourante a droit à une indemnité de dépens à la charge de l'intimée ( art. 68 al. 1 LTF ), laquelle sera fixée en tenant compte de l'activité déployée par son mandataire dans deux causes parallèles similaires (cf. causes 8C_325/2022 et 8C_328/2022).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