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320/2016 vom 13. März 2017</w:t>
      </w:r>
    </w:p>
    <w:p>
      <w:r>
        <w:t>Bundesgericht, 2017-03-13, FR</w:t>
      </w:r>
    </w:p>
    <w:p>
      <w:r>
        <w:rPr>
          <w:b/>
        </w:rPr>
        <w:t xml:space="preserve">Quelle: </w:t>
      </w:r>
      <w:r>
        <w:t>https://mcp.opencaselaw.ch/entscheid/bger_8C_320_2016</w:t>
      </w:r>
    </w:p>
    <w:p>
      <w:r>
        <w:t>FR: TF 8C 320/2016 du 13 mars 2017</w:t>
      </w:r>
    </w:p>
    <w:p>
      <w:r>
        <w:t>IT: TF 8C 320/2016 del 13 marzo 2017</w:t>
      </w:r>
    </w:p>
    <w:p>
      <w:pPr>
        <w:pStyle w:val="Heading2"/>
      </w:pPr>
      <w:r>
        <w:t>Regeste</w:t>
      </w:r>
    </w:p>
    <w:p>
      <w:r>
        <w:t>Droit de la fonction publique (remboursement de frais de défense pénale) | Fonction publique</w:t>
      </w:r>
    </w:p>
    <w:p>
      <w:pPr>
        <w:pStyle w:val="Heading2"/>
      </w:pPr>
      <w:r>
        <w:t>Erwägungen</w:t>
      </w:r>
    </w:p>
    <w:p>
      <w:r>
        <w:rPr>
          <w:b/>
        </w:rPr>
        <w:t>E. 1.1</w:t>
      </w:r>
    </w:p>
    <w:p>
      <w:r>
        <w:t>Le point de savoir si l'on est en présence d'une cause de droit public relevant du droit de la fonction publique au sens de l' art. 83 let . g LTF est une question qui constitue l'objet du litige porté devant le Tribunal fédéral. L'examen de la recevabilité du recours suppose donc de résoudre une question qui se recoupe avec le litige au fond.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 ATF 141 II 14 consid. 5.1 p. 33; arrêts 2C_284/2016 du 20 janvier 2017 consid. 1.1; 8C_227/2014 du 18 février 2015 consid. 2.1).</w:t>
      </w:r>
    </w:p>
    <w:p>
      <w:r>
        <w:rPr>
          <w:b/>
        </w:rPr>
        <w:t>E. 1.2</w:t>
      </w:r>
    </w:p>
    <w:p>
      <w:r>
        <w:t>En l'occurrence, le recourant a fondé sa prétention sur le devoir de protection de l'Etat, en sa qualité d'employeur, à l'égard de ses employés faisant l'objet d'une procédure pénale pour des faits survenus dans l'exercice de leurs fonctions. Il rend vraisemblable une possible prétention découlant d'un rapport de travail de droit public. D'autre part, la contestation est de nature pécuniaire, de sorte que le motif d'exclusion de l' art. 83 let . g LTF n'entre pas en considération. La valeur litigieuse dépasse par ailleurs le seuil de 15'000 fr. ouvrant la voie du recours en matière de droit public en ce domaine ( art. 85 al. 1 let. b LTF ). Il convient dès lors d'entrer en matière sur le recours.</w:t>
      </w:r>
    </w:p>
    <w:p>
      <w:r>
        <w:rPr>
          <w:b/>
        </w:rPr>
        <w:t>E. 2</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également ATF 137 III 580 consid. 1.3 p. 584). De plus, 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rPr>
          <w:b/>
        </w:rPr>
        <w:t>E. 3</w:t>
      </w:r>
    </w:p>
    <w:p>
      <w:r>
        <w:t>Dans un premier grief, le recourant reproche à la juridiction cantonale de n'avoir pas donné suite à sa demande de débats publics. Il invoque, notamment, une violation de l' art. 6 par. 1 CEDH .</w:t>
      </w:r>
    </w:p>
    <w:p>
      <w:r>
        <w:rPr>
          <w:b/>
        </w:rPr>
        <w:t>E. 3.1</w:t>
      </w:r>
    </w:p>
    <w:p>
      <w:r>
        <w:t>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2ème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 1 p. 98; 136 I 279 consid. 1 p. 281; 134 I 331 consid. 2.3 p. 333; 122 V 47 consid. 3b p. 55; FRANK MEYER in: Karpenstein/Mayer, EMRK, Kommentar, 2ème éd., 2015, n. 64 ss ad art. 6). Le droit à des débats publics n'est pas périmé du seul fait que ceux-ci ne sont expressément demandés que lors du second échange d'écritures. En règle générale, une demande déposée pendant l'échange d'écritures est formée à temps ( ATF 134 I 331 ).</w:t>
      </w:r>
    </w:p>
    <w:p>
      <w:r>
        <w:rPr>
          <w:b/>
        </w:rPr>
        <w:t>E. 3.2</w:t>
      </w:r>
    </w:p>
    <w:p>
      <w:r>
        <w:t>En l'espèce, le recourant n'a présenté sa demande que dans son courrier du 22 janvier 2016, après l'ultime délai qui lui avait été accordé au 15 janvier 2016 par la juge déléguée pour d'éventuelles observations. Il présentait cette requête comme un rappel d'une demande précédente, bien qu'il n'eût jusqu'alors formulé aucune requête de cette nature. En présentant cette demande alors que le délai - non prolongeable - pour déposer une écriture complémentaire avait expiré et qu'en conséquence l'échange d'écritures devait être considéré comme clos, sa démarche apparaît comme une tentative de contourner les conséquences du non-respect de ce délai. Elle doit, dès lors, être considérée comme tardive et chicanière. A cela s'ajoute que les points de fait et de droit susceptibles de surgir dans cette affaire - portant sur le remboursement de frais de défense pénale - pouvaient être examinés et tranchés de manière adéquate sur la base des écritures des parties (voir l'arrêt de la CourEDH Vilho Eskelinen et autres contre Finlande du 19 avril 2007, § 73; arrêt 6B_594/2015 du 29 février 2016 consid. 2.5, à propos de la rémunération de l'avocat d'office). Le grief de violation de l' art. 6 par. 1 CEDH est dès lors infondé.</w:t>
      </w:r>
    </w:p>
    <w:p>
      <w:r>
        <w:rPr>
          <w:b/>
        </w:rPr>
        <w:t>E. 4.1</w:t>
      </w:r>
    </w:p>
    <w:p>
      <w:r>
        <w:t>Le recourant reproche ensuite aux premiers juges d'avoir ignoré ses griefs tirés d'une violation de son droit d'être entendu (la commune aurait dû l'entendre avant de rendre sa décision et son refus n'était pas motivé). L'autorité n'a toutefois pas l'obligation d'exposer et de discuter tous les faits, moyens de preuve et griefs invoqués par les parties, mais elle peut au contraire se limiter à ceux qui lui paraissent pertinents ( ATF 139 IV 179 consid. 2.2 p. 183; 138 I 232 consid. 5.1 p. 237). En l'occurrence, le recourant ne fait pas la démonstration de la pertinence des moyens qu'il a invoqués. Au demeurant, la commune a donné une réponse, certes succincte, mais néanmoins motivée à sa demande et il a pu faire valoir l'ensemble de ses arguments dans la procédure de recours. Une éventuelle violation de son droit d'être entendu devrait de toute façon être considérée comme réparée.</w:t>
      </w:r>
    </w:p>
    <w:p>
      <w:r>
        <w:rPr>
          <w:b/>
        </w:rPr>
        <w:t>E. 4.2</w:t>
      </w:r>
    </w:p>
    <w:p>
      <w:r>
        <w:t>Le recourant voit également une violation de son droit d'être entendu dans le fait que la cour cantonale ne s'est pas prononcée sur sa demande de suspension de la procédure. Ce reproche n'est toutefois pas justifié. La juridiction précédente retient en effet à ce propos que la juge déléguée n'a pas donné suite à la conclusion en suspension de l'instruction, telle que sollicitée par l'intéressé, et qu'elle lui a dès lors imparti un ultime délai pour une éventuelle réplique (jugement attaqué p. 13). Implicitement tout au moins, la cour cantonale a admis - à tort ou à raison - que la question avait été traitée incidemment par la juge déléguée. La cour s'est donc exprimée à ce sujet et le droit d'être entendu du recourant n'a donc pas été violé de ce chef.</w:t>
      </w:r>
    </w:p>
    <w:p>
      <w:r>
        <w:rPr>
          <w:b/>
        </w:rPr>
        <w:t>E. 5.1</w:t>
      </w:r>
    </w:p>
    <w:p>
      <w:r>
        <w:t>Le recourant soutient que la cour cantonale a violé son droit d'être entendu à un autre titre encore. Il lui reproche de s'être fondée sur l'arrêt rendu le même jour dans la cause parallèlement pendante sur son licenciement. Ce faisant, la cour aurait fondé son raisonnement sur un jugement qui ne lui aurait pas été transmis préalablement.</w:t>
      </w:r>
    </w:p>
    <w:p>
      <w:r>
        <w:rPr>
          <w:b/>
        </w:rPr>
        <w:t>E. 5.2</w:t>
      </w:r>
    </w:p>
    <w:p>
      <w:r>
        <w:t>La jurisprudence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141 V 557 consid. 3.1 p. 564).</w:t>
      </w:r>
    </w:p>
    <w:p>
      <w:r>
        <w:rPr>
          <w:b/>
        </w:rPr>
        <w:t>E. 5.3</w:t>
      </w:r>
    </w:p>
    <w:p>
      <w:r>
        <w:t>Au considérant 5 de l'arrêt attaqué, la cour cantonale considère que la protection contre des attaques injustifiées ne signifie pas que la collectivité publique doive pourvoir aux frais de la défense d'un fonctionnaire contre lequel une instruction pénale a été ouverte. Elle retient que le présent cas n'est pas celui d'un agent public qui se serait vu attaquer injustement dans le but d'affaiblir l'action de l'Etat: la justice pénale a agi d'office, à la suite de l'intervention de la Cour des comptes. Dès lors, même si la procédure pénale se conclut par une ordonnance de classement, cette circonstance n'est pas de nature à fonder une obligation de la commune de rembourser les frais d'avocat encourus par le prévenu. La cour cantonale ajoute qu'un tel remboursement se justifie d'autant moins dans le cas d'un fonctionnaire dont la culpabilité a été reconnue, même si le Ministère public a renoncé à poursuivre, comme en l'espèce. La Chambre administrative se réfère encore à son arrêt rendu le même jour (cause ATA/211/2016), en indiquant qu'elle a retenu dans cet arrêt que le licenciement de l'intéressé était fondé, celui-ci ayant contrevenu à ses devoirs envers la commune et violé plusieurs articles du statut qui régissaient son activité.</w:t>
      </w:r>
    </w:p>
    <w:p>
      <w:r>
        <w:rPr>
          <w:b/>
        </w:rPr>
        <w:t>E. 5.4</w:t>
      </w:r>
    </w:p>
    <w:p>
      <w:r>
        <w:t>C'est à propos de cette dernière phrase que le recourant soutient que son droit d'être entendu a été violé. On peine toutefois à voir dans ce renvoi à l'ATA/211/2016 une telle violation. Que la cour cantonale ait confirmé la décision de licenciement était une éventualité que le recourant ne pouvait écarter et l'on ne conçoit pas que la juridiction cantonale aurait dû l'avertir avant d'en faire état dans l'arrêt attaqué. Ici, également, le grief de violation du droit d'être entendu se révèle mal fondé.</w:t>
      </w:r>
    </w:p>
    <w:p>
      <w:r>
        <w:rPr>
          <w:b/>
        </w:rPr>
        <w:t>E. 6.1</w:t>
      </w:r>
    </w:p>
    <w:p>
      <w:r>
        <w:t>Le recourant se plaint d'une violation de l' art. 29a Cst. , des art. 110 et 111 LTF et de l' art. 9 Cst. en lien avec l'art. 4 de la loi [du canton de Genève] du 12 septembre 1985 sur la procédure administrative (LPA; RS/GE E 5 10). Il déduit de ces dispositions qu'il avait un droit à ce qu'un contrôle judiciaire s'opère de façon complète. Il estime que l'autorité précédente ne pouvait pas refuser d'entrer en matière sur le litige au motif que la prétention invoquée ne reposait pas sur le droit public.</w:t>
      </w:r>
    </w:p>
    <w:p>
      <w:r>
        <w:rPr>
          <w:b/>
        </w:rPr>
        <w:t>E. 6.2</w:t>
      </w:r>
    </w:p>
    <w:p>
      <w:r>
        <w:t>L' art. 29a Cst. donne à toute personne le droit à ce que sa cause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 ATF 141 I 172 consid. 4.4.1 p. 180 et les références citées). Elle est concrétisée par l' art. 86 al. 2 LTF selon lequel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 ATF 136 I 323 consid. 4.3 p. 328). Quant à l' art 110 LTF , il prévoit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 L' art. 111 al. 1 LTF prévoit enfin que la qualité de partie à la procédure devant toute autorité cantonale précédente doit être reconnue à quiconque a qualité pour recourir devant le Tribunal fédéral.</w:t>
      </w:r>
    </w:p>
    <w:p>
      <w:r>
        <w:rPr>
          <w:b/>
        </w:rPr>
        <w:t>E. 6.3</w:t>
      </w:r>
    </w:p>
    <w:p>
      <w:r>
        <w:t>Il convient de relever d'emblée que la Chambre administrative n'a aucunement exclu la possibilité de saisir une autorité judiciaire de la contestation. Elle s'est au contraire saisie du litige pour parvenir à la conclusion que le recours était irrecevable du moment que la prétention du recourant ne trouvait aucun fondement dans le droit public cantonal. Elle a examiné la recevabilité du recours qui lui était soumis avec un plein pouvoir d'examen. Elle a statué comme autorité cantonale précédente du Tribunal fédéral. Dès lors, on ne discerne pas trace d'une violation de l' art. 29a Cst. pas plus que des dispositions précitées de la LTF. Il en va de même en ce qui concerne l' art. 4 LPA /GE qui définit la notion de décision et dont on ne voit pas en quoi il pourrait être d'un quelconque secours au recourant.</w:t>
      </w:r>
    </w:p>
    <w:p>
      <w:r>
        <w:rPr>
          <w:b/>
        </w:rPr>
        <w:t>E. 6.4</w:t>
      </w:r>
    </w:p>
    <w:p>
      <w:r>
        <w:t>Le moyen soulevé est donc sans fondement. Il appartenait au recourant de démontrer, par une motivation qui satisfasse aux exigences des art. 42 al. 2 et 106 al. 2 LTF, que le point de vue de la cour cantonale était à ses yeux erroné et que le litige pouvait selon son avis trouver un fondement dans le droit public cantonal. Or, cette démonstration fait défaut en l'espèce.</w:t>
      </w:r>
    </w:p>
    <w:p>
      <w:r>
        <w:rPr>
          <w:b/>
        </w:rPr>
        <w:t>E. 6.5</w:t>
      </w:r>
    </w:p>
    <w:p>
      <w:r>
        <w:t>On ajoutera, pour terminer, que le Tribunal fédéral a déjà eu l'occasion de rejeter le recours d'un fonctionnaire genevois contre un arrêt de l'ancien Tribunal administratif du canton de Genève qui avait également déclaré irrecevable une demande tendant au remboursement de frais liés à une procédure pénale pour des actes commis dans l'exercice des fonctions de l'intéressé. Le Tribunal fédéral a relevé, en particulier, que le fonctionnaire en question n'avait pas été dénoncé par un tiers intéressé à exercer une quelconque pression sur lui pouvant justifier l'intervention de l'Etat. L'ouverture de l'enquête pénale dirigée à son encontre résultait de l'intervention du président du Tribunal administratif, soit d'une autorité judiciaire, qui avait été amenée à considérer que certains comportements révélés par une enquête disciplinaire pouvaient relever de l'application de la loi pénale. Une prise en charge des frais de défense d'un magistrat faisant l'objet d'une poursuite pénale pour des actes commis dans l'exercice de ses fonctions (mais qui n'a fait l'objet d'aucune condamnation) pouvait en revanche se justifier quand elle répondait au souci de préserver l'indépendance du juge et de le mettre à l'abri de pressions de la part de justiciables. Mais il n'était pas arbitraire de considérer que cette protection - reconnue en l'espèce par la jurisprudence cantonale - ne s'étendait pas aux fonctionnaires cantonaux, dont le risque d'atteinte à l'indépendance était sensiblement moins élevé. En cas d'attaque injustifiée, ceux-ci bénéficiaient d'ailleurs de l'appui de leur hiérarchie au sein du pouvoir exécutif et ne se trouvaient pas isolés face à des tentatives de déstabilisation (arrêt 2P.96/2006 du 27 juillet 2006).</w:t>
      </w:r>
    </w:p>
    <w:p>
      <w:r>
        <w:rPr>
          <w:b/>
        </w:rPr>
        <w:t>E. 7</w:t>
      </w:r>
    </w:p>
    <w:p>
      <w:r>
        <w:t>Le recours se révèle en tous points mal fondé. Le recourant,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