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8C_320/2010 vom 14. Dezember 2010</w:t>
      </w:r>
    </w:p>
    <w:p>
      <w:r>
        <w:t>Bundesgericht, 2010-12-14, FR</w:t>
      </w:r>
    </w:p>
    <w:p>
      <w:r>
        <w:rPr>
          <w:b/>
        </w:rPr>
        <w:t xml:space="preserve">Quelle: </w:t>
      </w:r>
      <w:r>
        <w:t>https://mcp.opencaselaw.ch/entscheid/bger_8C_320_2010</w:t>
      </w:r>
    </w:p>
    <w:p>
      <w:r>
        <w:t>FR: TF 8C_320/2010 du 14 décembre 2010</w:t>
      </w:r>
    </w:p>
    <w:p>
      <w:r>
        <w:t>IT: TF 8C_320/2010 del 14 dicembre 2010</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Aux termes de l' art. 20 al. 3 LACI , le droit à l'indemnité de chômage s'éteint s'il n'est pas exercé dans les trois mois suivant la fin de la période de contrôle à laquelle il se rapporte. Les indemnités qui n'ont pas été perçues sont périmées trois ans après la fin de ladite période. Chaque mois civil constitue une période de contrôle ( art. 27a OACI ). Les délais prévus par l'article 20 al. 3 LACI sont des délais de péremption qui ne peuvent être ni prolongés ni interrompus, mais peuvent faire l'objet d'une restitution s'il existe une excuse valable pour justifier le retard ( ATF 117 V 244 consid. 3 p. 245; 114 V 123 consid. 3b p. 124; arrêt 8C_840/2009 du 27 novembre 2009 consid. 3.1; arrêt C 7/03 du 31 août 2004 consid. 3.2, in DTA 2005 n° 11 p. 135).</w:t>
      </w:r>
    </w:p>
    <w:p>
      <w:r>
        <w:rPr>
          <w:b/>
        </w:rPr>
        <w:t>E. 2.2</w:t>
      </w:r>
    </w:p>
    <w:p>
      <w:r>
        <w:t>Pour exercer son droit à l'indemnité, l'assuré doit remettre à la Caisse les documents énumérés à l'article 29 OACI. L' 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(arrêts 8C_840/2009 cité, consid. 3.2; C 7/03 cité, consid. 5.3.2, et C 90/97 du 29 juin 1998 consid. 1b, in DTA 1998 n° 48 p. 281).</w:t>
      </w:r>
    </w:p>
    <w:p>
      <w:r>
        <w:rPr>
          <w:b/>
        </w:rPr>
        <w:t>E. 3</w:t>
      </w:r>
    </w:p>
    <w:p>
      <w:r>
        <w:t>Il est établi que l'assuré n'a pas remis les formules IPA dans le délai prévu à l' art. 20 al. 3 LACI pour la période allant du 1er mai 2007 au 30 avril 2008.</w:t>
      </w:r>
    </w:p>
    <w:p>
      <w:r>
        <w:rPr>
          <w:b/>
        </w:rPr>
        <w:t>E. 4</w:t>
      </w:r>
    </w:p>
    <w:p>
      <w:r>
        <w:t>Comme en procédure cantonale, le recourant se prévaut du droit à la protection de la bonne foi et se plaint derechef de n'avoir pas été suffisamment renseigné par l'intimée et l'ORP. Il fait valoir, pour l'essentiel, que la seule information relative à son obligation de fournir la formule IPA dans un délai de trois mois (après la fin de la période de contrôle), nonobstant la procédure d'opposition en cours, figurait sur la toute première décision qui lui a été notifiée, soit la décision du 30 mai 2007. En particulier, il reproche à son conseillère ORP de lui avoir indiqué que ces documents ne devaient être remis que s'il obtenait un droit rétroactif.</w:t>
      </w:r>
    </w:p>
    <w:p>
      <w:r>
        <w:rPr>
          <w:b/>
        </w:rPr>
        <w:t>E. 5.1</w:t>
      </w:r>
    </w:p>
    <w:p>
      <w:r>
        <w:t>Le devoir de conseil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8C_66/2009 du 7 septembre 2009 consid. 8. 3, non publié in ATF 135 V 339 ; ULRICH MEYER, Grundlagen, Begriff und Grenzen der Beratungspflicht der Sozialversicherungsträger nach Art. 27 Abs. 2 ATSG, in: Sozialversicherungsrechtstagung 2006, St-Gall 2006, p. 27 no 35).</w:t>
      </w:r>
    </w:p>
    <w:p>
      <w:r>
        <w:rPr>
          <w:b/>
        </w:rPr>
        <w:t>E. 5.2</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 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 arrêt 8C_66/2009 précité, consid. 8.4, non publié in ATF 135 V 339 ).</w:t>
      </w:r>
    </w:p>
    <w:p>
      <w:r>
        <w:rPr>
          <w:b/>
        </w:rPr>
        <w:t>E. 6.1</w:t>
      </w:r>
    </w:p>
    <w:p>
      <w:r>
        <w:t>En l'espèce, on doit admettre avec les premiers juges que la caisse a rempli son obligation d'informer l'assuré des conséquences de la non-remise des formules IPA dans le délai de trois mois. Elle a clairement averti l'intéressé que cette obligation persistait même en cas de contestation de la décision du 30 mai 2007. Contrairement à ce que soutient le recourant, la caisse n'était pas tenue de répéter cet avertissement trois mois plus tard dans la décision sur opposition. Le Tribunal fédéral a en outre précisé que les mentions écrites sur les formules IPA (ou sur les anciennes cartes de contrôle) répondaient de manière appropriée à l'obligation faite à la caisse de rendre l'assuré attentif à la perte de son droit à l'indemnité en cas de négligence; en outre, l'avertissement donné au préalable quant aux conséquences de l'inobservation suffisait au regard du principe de proportionnalité (arrêt C 12/05 du 13 avril 2006 consid. 4.2.2 et arrêt cité). Par ailleurs, c'est en vain que le recourant reproche à la caisse de ne pas lui avoir accordé un délai supplémentaire au sens de l' art. 29 al. 3 OACI . En effet, ainsi qu'il a été exposé au consid. 3.2 supra, ce délai ne saurait être accordé pour pallier l'absence des documents de base.</w:t>
      </w:r>
    </w:p>
    <w:p>
      <w:r>
        <w:rPr>
          <w:b/>
        </w:rPr>
        <w:t>E. 6.2</w:t>
      </w:r>
    </w:p>
    <w:p>
      <w:r>
        <w:t>Aux termes de l' art. 76 al. 1 let . c LACI en liaison avec l' art. 19a al. 1 OACI , les offices régionaux de placement (ORP) constitués en vertu de l' art. 85b al. 1 LACI renseignent les assurés sur leurs droits et obligations en matière d'assurance-chômage. C'est dire que l'ORP est également assujetti à l' art. 27 al. 2 LPGA et aux principes qui en découlent (cf. arrêt C 7/03, cité, consid. 5.3 et 5.4; voir aussi arrêt C 78/93 du 5 octobre 1993 consid. 2, in DTA no 32 p. 228). A cet égard, il y a lieu de constater que lors d'un entretien du 7 novembre 2007 la conseillère ORP a abordé la question des formules IPA. La teneur de cet entretien, telle qu'elle ressort du procès-verbal reproduit dans le jugement cantonal (consid. 3a, p. 10) est la suivante:</w:t>
      </w:r>
    </w:p>
    <w:p>
      <w:r>
        <w:t>« M. G.________ a fait recours contre la décision suite à son opposition à la caisse. Remis ipa octobre et novembre 07 et rendu attentif de remettre fiches de GI à la caisse, en même temps que l'IPA si obtenait un droit rétroactif ».</w:t>
      </w:r>
    </w:p>
    <w:p>
      <w:r>
        <w:t>Comme l'ont relevé les premiers juges, cette information semble entrer en contradiction avec les indications figurant dans la décision du 30 mai 2007 et sur les formules IPA qui ont été remises au recourant. A lire le procès-verbal, on peut penser que la conseillère aurait indiqué que l'assuré avait la possibilité de remettre les formules IPA à un stade ultérieur sans perdre son droit aux indemnités. Il n'est dès lors pas exclu que l'assuré ait reçu une information inexacte lors de l'entretien. Toujours est-il qu'à partir du moment où la conseillère du recourant a abordé la question de la remise des formules IPA, elle devait donner à l'intéressé une information claire en attirant son attention sur son obligation de remettre en temps utile les formules en question, nonobstant la procédure en cours, ainsi que sur les conséquences d'une remise tardive. Elle ne l'a visiblement pas fait si l'on se réfère à la teneur pour le moins ambiguë du procès-verbal d'entretien. L'absence d'une information non équivoque à cette occasion peut aussi se déduire d'un courriel que la conseillère a envoyé à la caisse le 6 mai 2009 et qui se termine par ces mots: « Je peux tout au plus vous assurer que connaissant M. G.________, de toute bonne foi, il devait attendre l'obtention du droit pour vous remettre ses IPA ». On doit donc admettre un défaut de renseignement au sens de la jurisprudence précitée.</w:t>
      </w:r>
    </w:p>
    <w:p>
      <w:r>
        <w:t>Si le recourant, dont on peut admettre qu'il se trouvait dans l'erreur, avait été renseigné de manière précise lors de l'entretien en question, il aurait sans aucun doute remis sans tarder à la caisse ses formules IPA pour les mois précédents et il aurait régulièrement continué à le faire pour les mois suivants. Ses droits auraient pu en tout cas être sauvegardés dès le mois d'août 2007 (la date d'extinction du droit pour le mois d'août étant le 30 novembre 2007). Il convient en conséquence d'annuler le jugement attaqué ainsi que la décision sur opposition et de renvoyer la cause à la caisse pour qu'elle statue sur le droit à l'indemnité pour les mois d'août 2007 à avril 2008, abstraction faite du délai de péremption prévu à l' art. 20 al. 3 LACI .</w:t>
      </w:r>
    </w:p>
    <w:p>
      <w:r>
        <w:rPr>
          <w:b/>
        </w:rPr>
        <w:t>E. 7</w:t>
      </w:r>
    </w:p>
    <w:p>
      <w:r>
        <w:t>Vu ce qui précède, le recours est bien fondé pour la grande partie. L'intimée qui succombe pour l'essentiel supportera les frais judiciaires ( art. 66 al. 1 LTF ). Par ailleurs, elle versera une indemnité de dépens au recourant, qui est représenté par 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