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8C_319/2025 vom 24. Oktober 2025</w:t>
      </w:r>
    </w:p>
    <w:p>
      <w:r>
        <w:t>Bundesgericht, 2025-10-24, DE</w:t>
      </w:r>
    </w:p>
    <w:p>
      <w:r>
        <w:rPr>
          <w:b/>
        </w:rPr>
        <w:t xml:space="preserve">Quelle: </w:t>
      </w:r>
      <w:r>
        <w:t>https://mcp.opencaselaw.ch/entscheid/bger_8C_319_2025</w:t>
      </w:r>
    </w:p>
    <w:p>
      <w:r>
        <w:t>FR: TF 8C_319/2025 du 24 octobre 2025</w:t>
      </w:r>
    </w:p>
    <w:p>
      <w:r>
        <w:t>IT: TF 8C_319/2025 del 24 ottobre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2.1</w:t>
      </w:r>
    </w:p>
    <w:p>
      <w:r>
        <w:t>Streitig ist, ob das kantonale Gericht Bundesrecht verletzte, indem es die von der Beschwerdegegnerin verfügte Zusprache einer vom 1. Januar 2017 bis 31. März 2018 befristeten ganzen Invalidenrente bestätigte.</w:t>
      </w:r>
    </w:p>
    <w:p>
      <w:r>
        <w:rPr>
          <w:b/>
        </w:rPr>
        <w:t>E. 2.2</w:t>
      </w:r>
    </w:p>
    <w:p>
      <w:r>
        <w:t>Die Vorinstanz hat die massgebenden Rechtsgrundlagen zutreffend dargelegt. Darauf wird verwiesen ( Art. 109 Abs. 3 BGG ).</w:t>
      </w:r>
    </w:p>
    <w:p>
      <w:r>
        <w:rPr>
          <w:b/>
        </w:rPr>
        <w:t>E. 3</w:t>
      </w:r>
    </w:p>
    <w:p>
      <w:r>
        <w:t>Unbestritten ist, dass dem asim-Gutachten für die Feststellung des rechtserheblichen medizinischen Sachverhalts volle Beweiskraft zukommt. Demnach steht laut vorinstanzlichem Urteil fest, dass die Beschwerdeführerin seit 1. Januar 2018 nur noch im Ausmass von 30% arbeitsunfähig ist. Für die Ausschöpfung der Restarbeitsfähigkeit im Ausmass von 70% kommen gemäss asim-Gutachten körperlich leichte und sehr leichte Tätigkeiten in Frage, mit Hantieren von Lasten von maximal 5 bis 7 kg, nur gelegentlich bis 10 kg (letzteres nicht körperfern), ohne gebückt, kauernd oder über Kopfhöhe zu verrichtende Tätigkeitsanteile, ohne wirbelsäulenbelastende Arbeiten, ohne Arbeiten unter Kältebedingungen und ohne ausschliesslich stehend zu verrichtende Arbeiten (möglich bis zu zwei Dritteln der Zeit). Dabei besteht die Notwendigkeit, die Körperposition frei wechseln zu können. Aus psychiatrischer Sicht sind insbesondere Belastungsspitzen, übermässiger Zeitdruck und ein überdurchschnittlich konflikthaftes Umfeld zu vermeiden. Auch ist ein die üblichen Tagesarbeitszeiten überschreitender Schichtdienst/Nachtdienst ungeeignet. Günstig ist eine flexible Pausengestaltung.</w:t>
      </w:r>
    </w:p>
    <w:p>
      <w:r>
        <w:rPr>
          <w:b/>
        </w:rPr>
        <w:t>E. 4.1</w:t>
      </w:r>
    </w:p>
    <w:p>
      <w:r>
        <w:t>Die Beschwerdeführerin legt nicht dar und es ist nicht ersichtlich, dass die asim-Gutachter nicht sämtliche, im Einzelnen detailliert geltend gemachten Aspekte der einschränkenden, rheumatologischen und psychiatrischen Faktoren im Rahmen ihrer fachärztlichen Expertise aus polydisziplinärer Sicht lege artis angemessen (vgl. dazu Urteil 8C_750/2024 vom 7. August 2025 E. 4.3.2 mit Hinweisen) berücksichtigt hätten. Soweit sie daraus schliesst, ihre Restarbeitsfähigkeit gemäss vorinstanzlicher Sachverhaltsfeststellung sei auf dem hypothetisch ausgeglichenen Arbeitsmarkt nicht mehr verwertbar, erhebt sie diesen Einwand erstmals vor Bundesgericht (vgl. dazu SVR 2021 ALV Nr. 11 S. 34, 8C_652/2020 E. 5.2.1).</w:t>
      </w:r>
    </w:p>
    <w:p>
      <w:r>
        <w:rPr>
          <w:b/>
        </w:rPr>
        <w:t>E. 4.2</w:t>
      </w:r>
    </w:p>
    <w:p>
      <w:r>
        <w:t>Die Rechtsfrage, ob der versicherten Person die Verwertung ihrer Restarbeitsfähigkeit auf dem massgebenden ausgeglichenen Arbeitsmarkt nach allgemeiner Lebenserfahrung noch zumutbar ist, prüft das Bundesgericht frei ( BGE 140 V 267 E. 2.4 und SVR 2024 IV Nr. 18 S. 59, 8C_346/2023 E. 2.4 mit Hinweis). Unverwertbarkeit der Restarbeitsfähigkeit (und damit eine vollständige Erwerbsunfähigkeit)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(SVR 2024 IV Nr. 18 S. 59, 8C_346/2023 E. 2.3; 2020 IV Nr. 44 S. 155, 9C_644/2019 E. 4.2). Beim ausgeglichenen Arbeitsmarkt handelt es sich um eine theoretische Grösse, sodass nicht leichthin angenommen werden kann, die verbliebene Leistungsfähigkeit sei unverwertbar. Umfasst sind auch sogenannte Nischenarbeitsplätze, also Stellen- und Arbeitsangebote, bei denen Behinderte mit einem sozialen Entgegenkommen des Arbeitgebers rechnen können (vgl. BGE 148 V 174 E. 9.1; Urteil 8C_695/2024 vom 6. August 2025 E. 8.1).</w:t>
      </w:r>
    </w:p>
    <w:p>
      <w:r>
        <w:rPr>
          <w:b/>
        </w:rPr>
        <w:t>E. 4.3</w:t>
      </w:r>
    </w:p>
    <w:p>
      <w:r>
        <w:t>Ist von der vorinstanzlich festgestellten verbleibenden Leistungsfähigkeit auszugehen (E. 3), zeigt die Beschwerdeführerin auch nicht ansatzweise auf und ist nicht ersichtlich, inwiefern ihr auf dem hypothetisch ausgeglichenen allgemeinen Arbeitsmarkt unter ausschliesslicher Berücksichtigung der invalidenversicherungsrechtlich anspruchsrelevanten Einschränkungen (E. 3; vgl. demgegenüber zu den sozialen Belastungsfaktoren BGE 141 V 281 E. 4.3.3 und Urteil 8C_559/2019 vom 20. Januar 2020 E. 3.2, je mit Hinweisen) nicht ein genügend breites Spektrum an körperlich leichten, wechselbelastenden Tätigkeiten (so insbesondere etwa leichte Prüf-, Überwachungs- und Kontrollarbeiten; vgl. dazu Urteil 8C_312/2024 vom 4. April 2025 E. 6.2 f.) - beziehungsweise entsprechende Nischenarbeitsplätze - offen stünden, um ihre Restarbeitsfähigkeit zumutbarerweise verwerten zu können.</w:t>
      </w:r>
    </w:p>
    <w:p>
      <w:r>
        <w:rPr>
          <w:b/>
        </w:rPr>
        <w:t>E. 5</w:t>
      </w:r>
    </w:p>
    <w:p>
      <w:r>
        <w:t>Die offensichtlich unbegründete Beschwerde wird im vereinfachten Verfahren nach Art. 109 Abs. 2 lit. a BGG - mit summarischer Begründung unter Verweis auf das kantonale Urteil ( Art. 102 Abs. 1 und Art. 109 Abs. 3 BGG ) - erledigt.</w:t>
      </w:r>
    </w:p>
    <w:p>
      <w:r>
        <w:rPr>
          <w:b/>
        </w:rPr>
        <w:t>E. 6</w:t>
      </w:r>
    </w:p>
    <w:p>
      <w:r>
        <w:t>Als unterliegende Partei hat die Beschwerdeführerin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