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8C_318/2016 vom 9. Dezember 2016</w:t>
      </w:r>
    </w:p>
    <w:p>
      <w:r>
        <w:t>Bundesgericht, 2016-12-09, FR</w:t>
      </w:r>
    </w:p>
    <w:p>
      <w:r>
        <w:rPr>
          <w:b/>
        </w:rPr>
        <w:t xml:space="preserve">Quelle: </w:t>
      </w:r>
      <w:r>
        <w:t>https://mcp.opencaselaw.ch/entscheid/bger_8C_318_2016</w:t>
      </w:r>
    </w:p>
    <w:p>
      <w:r>
        <w:t>FR: TF 8C_318/2016 du 9 décembre 2016</w:t>
      </w:r>
    </w:p>
    <w:p>
      <w:r>
        <w:t>IT: TF 8C_318/2016 del 9 dicembre 2016</w:t>
      </w:r>
    </w:p>
    <w:p>
      <w:pPr>
        <w:pStyle w:val="Heading2"/>
      </w:pPr>
      <w:r>
        <w:t>Erwägungen</w:t>
      </w:r>
    </w:p>
    <w:p>
      <w:r>
        <w:rPr>
          <w:b/>
        </w:rPr>
        <w:t>E. 1</w:t>
      </w:r>
    </w:p>
    <w:p>
      <w:r>
        <w:t>Le jugement entrepris a été rendu en matière de rapports de travail de droit public au sens de l' art. 83 let . g LTF. Dans la mesure où la contestation porte sur la résiliation de ces rapports, il s'agit d'une contestation de nature pécuniaire, de sorte que le motif d'exclusion de l' art. 83 let . g LTF n'entre pas en considération (p. ex.: arrêts 8C_869/2015 du 12 août 2016 consid. 1.1; 8C_176/2015 du 9 février 2016 consid. 1.1 et la référence). La valeur litigieuse dépasse largement le seuil de 15'000 fr. ouvrant la voie du recours en matière de droit public en ce domaine (art. 51 al. 2 et 85 al. 1 let. b LTF).</w:t>
      </w:r>
    </w:p>
    <w:p>
      <w:r>
        <w:rPr>
          <w:b/>
        </w:rPr>
        <w:t>E. 2</w:t>
      </w:r>
    </w:p>
    <w:p>
      <w:r>
        <w:t>Dans un premier grief, le recourant reproche à la juridiction cantonale de n'avoir pas donné suite à sa demande de débats publics. Il invoque, notamment, une violation de l' art. 6 par. 1 CEDH .</w:t>
      </w:r>
    </w:p>
    <w:p>
      <w:r>
        <w:rPr>
          <w:b/>
        </w:rPr>
        <w:t>E. 2.1</w:t>
      </w:r>
    </w:p>
    <w:p>
      <w:r>
        <w:t>L' art. 6 par.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Selon la jurisprudence de la Cour européenne des droits de l'homme (CourEDH), il y a une présomption que l' art. 6 par. 1 CEDH s'applique dans les contestations relatives aux employés publics. Pour que ces litiges soient soustraits à la protection offerte par cette norme, deux conditions doivent être remplies. En premier lieu, le droit interne de l'Etat concerné doit avoir expressément exclu l'accès à un tribunal s'agissant du poste ou de la catégorie de salariés en question. En second lieu, cette dérogation doit reposer sur des motifs objectifs liés à l'intérêt de l'Etat. Le simple fait que l'intéressé relève d'un secteur ou d'un service qui participe à l'exercice de la puissance publique n'est pas en soi déterminant. Il faut encore que l'objet du litige soit lié à l'exercice de l'autorité étatique, de sorte que les conflits ordinaires du travail - tels ceux portant sur un salaire, une indemnité ou d'autres droits de ce type - ne sont en principe pas soustraits aux garanties de l'article 6 CEDH (arrêt</w:t>
      </w:r>
    </w:p>
    <w:p>
      <w:r>
        <w:t>Vilho Eskelinen et autres contre Finlande du 19 avril 2007, § 62, confirmé en dernier lieu par l'arrêt</w:t>
      </w:r>
    </w:p>
    <w:p>
      <w:r>
        <w:t>Baka contre Hongrie du 23 juin 2016 § 101 ss). En l'espèce, il est évident qu'aucune des conditions susmentionnées n'est réalisée.</w:t>
      </w:r>
    </w:p>
    <w:p>
      <w:r>
        <w:rPr>
          <w:b/>
        </w:rPr>
        <w:t>E. 2.2</w:t>
      </w:r>
    </w:p>
    <w:p>
      <w:r>
        <w:t>La tenue de débats publics doit, sauf circonstances exceptionnelles non réunies en l'espèce, avoir lieu devant les instances judiciaires précédentes. Il appartient à ce titre au recourant, sous peine de forclusion, de présenter une demande formulée de manière claire et indiscutable. Saisi d'une telle demande, le juge doit en principe y donner suite. Il peut cependant s'en abstenir dans les cas prévus par l'art. 6 par. 1, 2</w:t>
      </w:r>
    </w:p>
    <w:p>
      <w:r>
        <w:t>ème phrase, CEDH, lorsque la demande est abusive (chicanière ou dilatoire), lorsqu'il apparaît clairement que le recours est infondé, irrecevable ou, au contraire, manifestement bien fondé ou encore lorsque l'objet du litige porte sur des questions hautement techniques ( ATF 141 I 97 consid. 5.1 p. 99; 136 I 279 consid. 1 p. 281; 134 I 331 consid. 2.3 p. 333; 122 V 47 consid. 3b p. 55; FRANK MEYER in: Karpenstein/Mayer, EMRK, Kommentar, 2ème éd., 2015, n° 64 s. ad art. 6).</w:t>
      </w:r>
    </w:p>
    <w:p>
      <w:r>
        <w:rPr>
          <w:b/>
        </w:rPr>
        <w:t>E. 2.3</w:t>
      </w:r>
    </w:p>
    <w:p>
      <w:r>
        <w:t>En l'espèce, il n'apparaît pas que l'une de ces exceptions soit réalisée. On ignore d'ailleurs les motifs pour lesquels les premiers juges n'ont pas donné suite à la requête du recourant. Sur ce point, le jugement attaqué ne contient aucune motivation. Dans ses déterminations sur le recours, la juridiction cantonale n'en dit pas davantage mot.</w:t>
      </w:r>
    </w:p>
    <w:p>
      <w:r>
        <w:t>L'intimée soutient que la requête d'audition des parties en audience publique était abusive, parce qu'elle avait pour but, de l'aveu même du recourant, d'y faire venir des tiers, à savoir les médias. Cet argument n'est pas fondé. La publicité de la procédure des organes judiciaires visés à l' art. 6 par. 1 CEDH tend précisément à protéger les justiciables contre une justice secrète échappant au contrôle du public, grâce notamment à la présence de la presse, laquelle est expressément mentionnée par cette disposition de la convention (cf., parmi d'autre références, arrêts de la CourEDH</w:t>
      </w:r>
    </w:p>
    <w:p>
      <w:r>
        <w:t>Hurter contre Suisse du 15 mai 2012, résumé dans plaidoyer 2012/5 p. 56 et</w:t>
      </w:r>
    </w:p>
    <w:p>
      <w:r>
        <w:t>Schlumpf contre Suisse du 8 janvier 2009 § 62 ss).</w:t>
      </w:r>
    </w:p>
    <w:p>
      <w:r>
        <w:t>C'est en vain, également, que l'intimée se prévaut de l'arrêt 6B_ 594/2015 du 29 février 2016. Cette affaire concernait une demande d'audience publique émanant de l'avocat d'office qui contestait le montant de sa rémunération dans le cadre d'une procédure pénale. Le Tribunal fédéral a tout d'abord laissé ouverte la question de savoir si le défenseur d'office pouvait se prévaloir de l' art. 6 par. 1 CEDH dans ses rapports avec l'Etat s'agissant de la procédure visant à fixer son indemnisation. Il a ensuite constaté, pour les motifs énoncés au considérant 2 de cet arrêt, auxquels on peut renvoyer, que la demande apparaissait chicanière et que l'impératif d'économie de procédure plaidait également en faveur de son refus. Ces motifs ne sont aucunement transposables en l'espèce. Tout litige sinon pourrait pratiquement être exclu de la garantie de publicité offerte par la convention.</w:t>
      </w:r>
    </w:p>
    <w:p>
      <w:r>
        <w:rPr>
          <w:b/>
        </w:rPr>
        <w:t>E. 3</w:t>
      </w:r>
    </w:p>
    <w:p>
      <w:r>
        <w:t>En l'absence d'un motif qui s'opposait à la tenue d'une audience publique devant la juridiction cantonale et compte tenu de la demande non équivoque formulée devant celle-ci par le recourant, il y a lieu d'admettre que la procédure cantonale est entachée d'un vice de procédure qui entraîne d'emblée l'annulation du jugement entrepris, indépendamment des chances de succès du recours sur le fond ( ATF 134 I 331 consid.3.1 p. 335 sv.). Il convient, en conséquence, de renvoyer la cause à l'autorité précédente pour qu'elle donne suite à la requête de débats publics du recourant et statue à nouveau.</w:t>
      </w:r>
    </w:p>
    <w:p>
      <w:r>
        <w:rPr>
          <w:b/>
        </w:rPr>
        <w:t>E. 4</w:t>
      </w:r>
    </w:p>
    <w:p>
      <w:r>
        <w:t>L'intimée, qui succombe, supportera les frais judiciaires ( art. 66 al. 1 LTF ) et versera au recourant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