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318/2015 vom 15. Februar 2016</w:t>
      </w:r>
    </w:p>
    <w:p>
      <w:r>
        <w:t>Bundesgericht, 2016-02-15, FR</w:t>
      </w:r>
    </w:p>
    <w:p>
      <w:r>
        <w:rPr>
          <w:b/>
        </w:rPr>
        <w:t xml:space="preserve">Quelle: </w:t>
      </w:r>
      <w:r>
        <w:t>https://mcp.opencaselaw.ch/entscheid/bger_8C_318_2015</w:t>
      </w:r>
    </w:p>
    <w:p>
      <w:r>
        <w:t>FR: TF 8C 318/2015 du 15 février 2016</w:t>
      </w:r>
    </w:p>
    <w:p>
      <w:r>
        <w:t>IT: TF 8C 318/2015 del 15 febbraio 2016</w:t>
      </w:r>
    </w:p>
    <w:p>
      <w:pPr>
        <w:pStyle w:val="Heading2"/>
      </w:pPr>
      <w:r>
        <w:t>Regeste</w:t>
      </w:r>
    </w:p>
    <w:p>
      <w:r>
        <w:t>Droit de la fonction publique (classe de traitement) | Fonction publique</w:t>
      </w:r>
    </w:p>
    <w:p>
      <w:pPr>
        <w:pStyle w:val="Heading2"/>
      </w:pPr>
      <w:r>
        <w:t>Erwägungen</w:t>
      </w:r>
    </w:p>
    <w:p>
      <w:r>
        <w:rPr>
          <w:b/>
        </w:rPr>
        <w:t>E. 1</w:t>
      </w:r>
    </w:p>
    <w:p>
      <w:r>
        <w:t>La présente cause est une contestation pécuniaire en matière de rapports de travail de droit public, qui ne tombe pas sous le coup de l'exception de l' art. 83 let . g LTF. Conformément à ce que prescrit l' art. 112 al. 1 let . d LTF, la Cour d'appel civile considère que la valeur litigieuse est supérieure à 30'000 fr. Elle dépasse donc largement le seuil requis de 15'000 fr. ( art. 85 al. 1 let. b LTF ). L'appréciation de la Cour d'appel n'apparaît pas inexacte et le Tribunal fédéral s'y rallie.</w:t>
      </w:r>
    </w:p>
    <w:p>
      <w:r>
        <w:rPr>
          <w:b/>
        </w:rPr>
        <w:t>E. 2.1</w:t>
      </w:r>
    </w:p>
    <w:p>
      <w:r>
        <w:t>Selon l'art. 23 de la loi du 12 novembre 2001 sur le personnel de l'Etat de Vaud (LPers-VD; RSV 172.31),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 art. 24 al. 1 LPers -VD). ll détermine les modalités de progression de salaire (augmentation annuelle) à l'intérieur de chaque classe et définit les fonctions et les évalue ( art. 24 al. 2 et 3 LPers -VD). Les modalités de la mise en oeuvre de la nouvelle classification des fonctions et de la nouvelle politique salariale de l'Etat de Vaud ont fait l'objet d'un arrêté du Conseil d'Etat du 28 novembre 2008 (en abrégé: ANPS; RSV 172.320.1). L'art. 3 de cet arrêté règle la transition vers les nouvelles fonctions. Selon la lettre c de cette disposition, la transition des fonctions de l'ancien au nouveau système est qualifiée d'indirecte lorsque "les postes relevant d'une fonction actuelle sont colloqués dans plusieurs chaînes de la nouvelle grille des fonctions". Il est précisé que "l'emploi-type détermine la chaîne et le cahier des charges produit par l'autorité d'engagement le niveau à l'intérieur de celle-ci". La chaîne 371 se divise en quatre niveaux (14 à 17). La détermination du niveau se fait en évaluant le cahier des charges par rapport au descriptif des fonctions attachées à chaque niveau. Comme cela ressort du jugement attaqué, le rapport explicatif établi en 2009 par le Service du personnel intitulé "La nouvelle politique salariale, Du système de classification des fonctions au système de rémunération" explique la manière dont la grille des fonctions a été construite et comment les postes de l'administration ont été basculés dans cette grille. Selon la méthode retenue, l'évaluation des fonctions s'appuie sur un catalogue des critères principaux, à savoir quatre critères de compétences (professionnelle, personnelle, sociale, à diriger à former et à conseiller). Chaque critère principal se décline ensuite en critères secondaires. Chaque critère est indépendamment apprécié, évalué et noté. Pour ce faire, l'appréciation, l'évaluation ou la notation d'un critère s'appuient sur des indicateurs.</w:t>
      </w:r>
    </w:p>
    <w:p>
      <w:r>
        <w:rPr>
          <w:b/>
        </w:rPr>
        <w:t>E. 2.2</w:t>
      </w:r>
    </w:p>
    <w:p>
      <w:r>
        <w:t>Le recourant soutient que la décision attaquée viole l'interdiction de l'arbitraire dans la mesure où elle applique de manière arbitraire l' art. 24 LPers -VD ainsi que l'art. 3 ANPS. Il soutient que la détermination du niveau des fonctions de directeur administratif au sein de l'Hôpital C.________ aurait dû être faite sur la base de deux critères internes à cet établissement et destinés tout spécialement à l'évaluation de la fonction de directeur administratif qu'il occupe. Selon ces critères, le cadre de direction d'un département soignant doit se voir attribuer un niveau supplémentaire par rapport à celui d'un département non soignant. En outre, si le département soignant compte plus de 500 ETP ("équivalents temps plein"), le niveau 15 (soit un niveau supplémentaire à partir du niveau minimal de la chaîne 371 qui est le niveau 14) doit être attribué au poste de directeur administratif départemental. Le recourant en déduit que le cadre de direction d'un département soignant de plus de 500 ETP devrait alors être colloqué au niveau 16, soit le niveau supérieur à celui d'un département soignant de moins de 500 ETP. Pour que la cohérence interne à l'Hôpital C.________ soit respectée, ces deux critères ne pourraient, de l'avis du recourant, être appliqués que cumulativement, soit en permettant la collocation d'un poste de directeur administratif départemental dans trois des quatre niveaux de fonction que permet la chaîne 371 (niveau 14, 15 et 16). A défaut, on ne pourrait pas assurer l'égalité de traitement entre les directeurs administratifs. Le recourant, qui remplit les deux critères en question, devrait donc être colloqué au niveau de fonction 16 de la chaîne 371 depuis le 1er décembre 2008.</w:t>
      </w:r>
    </w:p>
    <w:p>
      <w:r>
        <w:rPr>
          <w:b/>
        </w:rPr>
        <w:t>E. 2.3</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140 III 167 consid. 2.1 p. 168 et l'arrêt cité). En outre, il ne suffit pas que les motifs de la décision critiquée soient insoutenables, encore faut-il que cette dernière soit arbitraire dans son résultat ( ATF 140 III 167 consid. 2.1 précité). Les griefs de violation des droits fondamentaux et des dispositions de droit cantonal sont en outre soumis à des exigences de motivation accrues ( art. 106 al. 2 LTF ). La partie recourante doit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w:t>
      </w:r>
    </w:p>
    <w:p>
      <w:r>
        <w:rPr>
          <w:b/>
        </w:rPr>
        <w:t>E. 2.4.1</w:t>
      </w:r>
    </w:p>
    <w:p>
      <w:r>
        <w:t>En l'espèce, on peine à discerner en quoi la non-prise en considération des deux critères invoqués par le recourant serait constitutive d'une violation de la LPers-VD ou de l'arrêté précité du Conseil d'Etat. Les dispositions dont le recourant soutient qu'elles ont été appliquées arbitrairement contiennent des principes généraux qui ne disent encore rien sur la manière d'évaluer concrètement les fonctions. En outre, la législation cantonale n'exige pas de tenir compte de directives internes qui seraient propres à un établissement public ou à un service de l'Etat, en lieu et place des critères plus généraux d'évaluation valables pour l'ensemble des employés de l'Etat. Il n'apparaît pas, enfin, que les deux critères en question doivent être nécessairement cumulés pour aboutir si les conditions en sont remplies - et sans égard à d'autres critères d'évaluation - à une collocation au niveau 16. A ce propos d'ailleurs, il ressort du jugement attaqué que la Commission de recours a examiné les critères internes à l'Hôpital C.________ dans sa décision et a, en définitive, suivi la position de l'autorité d'engagement, pour laquelle les critères de la taille, de la diversité et de la complexité des tâches du département justifiaient une collocation du recourant au niveau 15. Une collocation au niveau 16 eût exigé une "transversalité plus grande" et une autonomie plus prononcée quant à l'importance des décisions qui ressortaient de la compétence de l'intéressé.</w:t>
      </w:r>
    </w:p>
    <w:p>
      <w:r>
        <w:rPr>
          <w:b/>
        </w:rPr>
        <w:t>E. 2.4.2</w:t>
      </w:r>
    </w:p>
    <w:p>
      <w:r>
        <w:t>La décision attaquée n'est pas non plus arbitraire dans son résultat ni d'ailleurs, contrairement à ce que suggère le recourant, source d'inégalités de traitement entre les directeurs administratifs. On rappellera ici que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138 I 321 consid. 3.3 p. 324). Selon les constatations de l'arrêt attaqué, un seul directeur administratif était pour l'heure déjà colloqué au niveau 16. Cette collocation se justifie par le fait que cette personne est membre du comité de direction élargi et adjoint du chef de la direction de D.________, qui est lui-même membre de la direction générale. Les autres postes colloqués en classe 16 sont des postes de cadres de direction, comme celui de la cheffe de la direction de E.________ et du chef de la direction de F.________, postes qui ne sont pas comparables à celui du recourant, dès lors qu'ils touchent à des activités transversales qui influencent l'entier des départements ou services de l'Hôpital C.________. Ces deux hauts responsables - à la différence du recourant - font en outre partie de la direction élargie de cet établissement. Sur la base de ces constatations, qui lient le Tribunal fédéral et qui, au demeurant, ne sont pas contestées, on doit admettre que le refus d'attribuer au recourant le niveau 16 apparaît objectivement justifié.</w:t>
      </w:r>
    </w:p>
    <w:p>
      <w:r>
        <w:rPr>
          <w:b/>
        </w:rPr>
        <w:t>E. 2.5</w:t>
      </w:r>
    </w:p>
    <w:p>
      <w:r>
        <w:t>Il s'ensuit que le recours est mal fondé.</w:t>
      </w:r>
    </w:p>
    <w:p>
      <w:r>
        <w:rPr>
          <w:b/>
        </w:rPr>
        <w:t>E. 3</w:t>
      </w:r>
    </w:p>
    <w:p>
      <w:r>
        <w:t>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