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318/2008 vom 24. Juni 2008</w:t>
      </w:r>
    </w:p>
    <w:p>
      <w:r>
        <w:t>Bundesgericht, 2008-06-24, DE</w:t>
      </w:r>
    </w:p>
    <w:p>
      <w:r>
        <w:rPr>
          <w:b/>
        </w:rPr>
        <w:t xml:space="preserve">Quelle: </w:t>
      </w:r>
      <w:r>
        <w:t>https://mcp.opencaselaw.ch/entscheid/bger_8C_318_2008</w:t>
      </w:r>
    </w:p>
    <w:p>
      <w:r>
        <w:t>FR: TF 8C 318/2008 du 24 juin 2008</w:t>
      </w:r>
    </w:p>
    <w:p>
      <w:r>
        <w:t>IT: TF 8C 318/2008 del 24 giugno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Das kantonale Gericht hat die gesetzlichen Bestimmungen und von der Rechtsprechung entwickelten Grundsätze über den Umfang des Rentenanspruchs ( Art. 28 Abs. 1 IVG ), die Bemessung des Invaliditätsgrades bei erwerbstätigen Versicherten nach der allgemeinen Methode des Einkommensvergleichs ( Art. 28 Abs. 2 IVG in Verbindung mit Art. 16 ATSG ; BGE 130 V 343 E. 3.4. S. 348, 128 V 29 E. 1 S. 30, 104 V 135 E. 2a und b S. 136) sowie die Revision von Invalidenrenten bei wesentlicher Änderung der tatsächlichen Verhältnisse ( Art. 1 Abs. 1 IVG in Verbindung mit Art. 17 Abs. 1 ATSG ) richtig dargelegt. Hierauf wird verwiesen.</w:t>
      </w:r>
    </w:p>
    <w:p>
      <w:r>
        <w:rPr>
          <w:b/>
        </w:rPr>
        <w:t>E. 3</w:t>
      </w:r>
    </w:p>
    <w:p>
      <w:r>
        <w:t>Die Vorinstanz gelangte gestützt auf die medizinischen Unterlagen - insbesondere die Berichte der Ärzte der Psychiatrischen Poliklinik des Spitals X.________ vom 29. Mai 2001, 6. September 2001, 25. Juni 2003 und 12. Mai 2005 sowie des Dr. med. F.________ vom 23. Juli 2005 und 6. Mai 2006 - zum zutreffenden Schluss, dass bis zur ablehnenden Verfügung vom 23. Oktober 2006 keine wesentliche Verschlechterung des Gesundheitszustandes und der damit verbundenen Erwerbsfähigkeit eingetreten sei. Eine Verschlechterung der Arbeitsfähigkeit liege namentlich nicht in der erfolglosen Stellensuche und im Alkoholabhängigkeitssyndrom begründet. Sämtliche in der Beschwerde ans Bundesgericht erhobenen Einwendungen vermögen, soweit sie überhaupt mit einer Begründung versehen sind, an dieser Betrachtungsweise nichts zu ändern.</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