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8C_317/2010 vom 3. August 2010</w:t>
      </w:r>
    </w:p>
    <w:p>
      <w:r>
        <w:t>Bundesgericht, 2010-08-03, DE</w:t>
      </w:r>
    </w:p>
    <w:p>
      <w:r>
        <w:rPr>
          <w:b/>
        </w:rPr>
        <w:t xml:space="preserve">Quelle: </w:t>
      </w:r>
      <w:r>
        <w:t>https://mcp.opencaselaw.ch/entscheid/bger_8C_317_2010</w:t>
      </w:r>
    </w:p>
    <w:p>
      <w:r>
        <w:t>FR: TF 8C_317/2010 du 3 août 2010</w:t>
      </w:r>
    </w:p>
    <w:p>
      <w:r>
        <w:t>IT: TF 8C_317/2010 del 3 agosto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Beschwerdegegner einen Unfall im Rechtssinne erlitten hat. Die Zürich räumt ein, dass vier der fünf Merkmale des Unfallbegriffs - Körperverletzung, äussere Einwirkung, Plötzlichkeit und fehlende Absicht (vgl. Art. 4 ATSG ) - gegeben sind. Ihrer Auffassung nach liegt aber, anders als der Beschwerdegegner und die Vorinstanz annehmen, die weiter erforderliche Ungewöhnlichkeit der äusseren Einwirkung nicht vor.</w:t>
      </w:r>
    </w:p>
    <w:p>
      <w:r>
        <w:rPr>
          <w:b/>
        </w:rPr>
        <w:t>E. 3.1.1</w:t>
      </w:r>
    </w:p>
    <w:p>
      <w:r>
        <w:t>Gemäss den Akten vernahm der Versicherte am 27. oder 28. Juli 2007 abends einen ihm unbekannten Pfeifton. Als er sich dem vermuteten Standort der Lärmquelle näherte, löste er den automatisch gesteuerten Einschaltmechanismus des auf dem Nachbargrundstück installierten Marderschutzgerätes aus, welches ein von ihm als unerträglich empfundenes akustisches Signal, vergleichbar einem Knall, aussandte.</w:t>
      </w:r>
    </w:p>
    <w:p>
      <w:r>
        <w:rPr>
          <w:b/>
        </w:rPr>
        <w:t>E. 3.1.2</w:t>
      </w:r>
    </w:p>
    <w:p>
      <w:r>
        <w:t>Die Vorinstanz erwog, dem Beschwerdegegner sei nicht bekannt gewesen, dass sein Nachbar einen solchen Apparat installiert habe, weshalb er, als er sich diesem näherte, nicht mit einer Gehörbelastung rechnen konnte und musste. Aus medizinischer Sicht sei der Kausalzusammenhang zwischen den geltend gemachten Gehörbeschwerden und dem Vorfall vom 28. Juli 2007 anscheinend ausgewiesen, weshalb die physikalischen Berechnungen der SUVA zur Schallbelastung, die zum einen auf strittigen Schätzungen zur Expositionsdauer, zum anderen explizit auf einer rein technischen Betrachtungsweise beruhten, von untergeordneter Bedeutung seien.</w:t>
      </w:r>
    </w:p>
    <w:p>
      <w:r>
        <w:rPr>
          <w:b/>
        </w:rPr>
        <w:t>E. 3.1.3</w:t>
      </w:r>
    </w:p>
    <w:p>
      <w:r>
        <w:t>Die Zürich bringt vor, unerwartete Einwirkungen auf den menschlichen Köper im Alltagsleben träten häufig auf, ohne dass sie deswegen schon ungewöhnlich seien. Ein Tinnitus könne durch jederzeit vorkommende vielfältige Beschallungen und Druckveränderungen entstehen. Der Pfeifton des Marderschutzgerätes sei zudem nicht ungewöhnlich laut gewesen, zumal der Nachbar des Beschwerdegegners diesen nicht habe hören können.</w:t>
      </w:r>
    </w:p>
    <w:p>
      <w:r>
        <w:rPr>
          <w:b/>
        </w:rPr>
        <w:t>E. 3.1.4</w:t>
      </w:r>
    </w:p>
    <w:p>
      <w:r>
        <w:t>Der Beschwerdegegner wendet in der Vernehmlassung vor allem ein, das Marderschutzgerät sei im Zeitpunkt des geltend gemachten Vorfalles falsch eingestellt gewesen, was fachmedizinisch von mehreren Ärzten bestätigt worden sei. Daher sei die technische Expertise der SUVA wenig aussagekräftig.</w:t>
      </w:r>
    </w:p>
    <w:p>
      <w:r>
        <w:rPr>
          <w:b/>
        </w:rPr>
        <w:t>E. 3.2</w:t>
      </w:r>
    </w:p>
    <w:p>
      <w:r>
        <w:t>Sowohl die Betrachtungsweise der Vorinstanz als auch diejenige des Beschwerdegegners überzeugen nicht. Erstere übersieht, dass sich das Unfallbegriffsmerkmal der Ungewöhnlichkeit nicht auf die Wirkung des äusseren Faktors bezieht, sondern nur auf diesen selber, weshalb die Schallmessungen der SUVA mit einem Modell des fraglichen Apparates nicht ohne Weiteres vernachlässigt werden können. Vor allem aufgrund der von dieser festgestellten Schallemissionen kann beurteilt werden, ob der unbestritten plötzlich aufgetretene Lärmpegel ungewöhnlich im Sinne der Rechtsprechung zum Unfallbegriff gewesen war. Der Beschwerdegegner übersieht zum einen, dass die SUVA seine Einwände in Bezug auf die Messmethode mit Stellungnahme vom 17. Dezember 2008 unter Beantwortung aller Fragen entkräftet hat. Insgesamt ist daher mit der Zürich festzuhalten, dass sich am 28. Juli 2007 nichts Ungewöhnliches im Sinne des Unfallbegriffs nach Art. 4 ATSG ereignet hat. Die geltend gemachte Gehörschädigung mag aus medizinischer Sicht natürlich kausale Folge einer äusseren Einwirkung gewesen sein, ein Rückschluss auf das Merkmal der Ungewöhnlichkeit kann daraus aber nicht gezogen werden (vgl. dazu BGE 134 V 72 ). Vielmehr verhält es sich hier wie im Fall 8C_280/2010 (Urteil vom 21. Mai 2010 E. 3.2.1), wo bei einem maximalen Schallpegel von 111 dB die Grenzwerte für eine Gehörgefährdung bei Schallexposition durch ein Marderschutzgerät deutlich unterschritten wurde. Der in jenem Fall von der SUVA beigezogene Experte stellte klar, dass aus fachmedizinischer Sicht nur Knalltraumata mit Spitzenwerten zwischen 160 bis 190 dB in Betracht fallen. Es ist nicht ersichtlich, weshalb davon im vorliegenden Fall, in dem die technische Lärmbeurteilung eines Exemplars des fraglichen Marderschutzgerätes sowohl auf der einstellbaren Frequenz von 8 wie 16 kHz lediglich Spitzenwerte von 108 bzw. 113 dB erreichte, abgewichen werden soll. Prof. Dr. Dr. A.________ ging in seinem Gutachten vom 24. Juni 2009 trotz entsprechender Fragestellung der Zürich darauf nicht ein; er nahm einzig Stellung zur natürlichen Kausalität der geltend gemachten Beschwerden mit dem Ereignis vom 27. oder 28. Juli 2007 (Gutachten vom 24. Juni 2009). Insgesamt betrachtet ist nicht mit der im Sozialversicherungsrecht erforderlichen überwiegenden Wahrscheinlichkeit nachweisbar, dass dem Beschwerdegegner anlässlich des Ereignisses vom 28. Juli 2007 etwas Ungewöhnliches (vgl. dazu auch RKUV 2006 Nr. U 578 S. 170) widerfuhr, weshalb es an einer Voraussetzung für das Vorliegen des Unfallbegriffs fehlt.</w:t>
      </w:r>
    </w:p>
    <w:p>
      <w:r>
        <w:rPr>
          <w:b/>
        </w:rPr>
        <w:t>E. 4</w:t>
      </w:r>
    </w:p>
    <w:p>
      <w:r>
        <w:t>Die Gerichtskosten sind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