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8C_316/2015 vom 13. Juli 2015</w:t>
      </w:r>
    </w:p>
    <w:p>
      <w:r>
        <w:t>Bundesgericht, 2015-07-13, DE</w:t>
      </w:r>
    </w:p>
    <w:p>
      <w:r>
        <w:rPr>
          <w:b/>
        </w:rPr>
        <w:t xml:space="preserve">Quelle: </w:t>
      </w:r>
      <w:r>
        <w:t>https://mcp.opencaselaw.ch/entscheid/bger_8C_316_2015</w:t>
      </w:r>
    </w:p>
    <w:p>
      <w:r>
        <w:t>FR: TF 8C_316/2015 du 13 juillet 2015</w:t>
      </w:r>
    </w:p>
    <w:p>
      <w:r>
        <w:t>IT: TF 8C_316/2015 del 13 luglio 2015</w:t>
      </w:r>
    </w:p>
    <w:p>
      <w:pPr>
        <w:pStyle w:val="Heading2"/>
      </w:pPr>
      <w:r>
        <w:t>Erwägungen</w:t>
      </w:r>
    </w:p>
    <w:p>
      <w:r>
        <w:rPr>
          <w:b/>
        </w:rPr>
        <w:t>E. 1</w:t>
      </w:r>
    </w:p>
    <w:p>
      <w:r>
        <w:t>Die Voraussetzungen für den vom Beschwerdeführer verlangten zweiten Schriftenwechsel sind schon deshalb nicht erfüllt, weil das Bundesgericht bereits auf die Durchführung eines ersten Schriftenwechsels verzichtet hat (vgl. Art. 102 Abs. 1 und 3 BGG ; BGE 133 I 98 E. 2.2 S. 99 f.; Urteil 8C_28/2012 vom 29. Mai 2012 E. 2).</w:t>
      </w:r>
    </w:p>
    <w:p>
      <w:r>
        <w:rPr>
          <w:b/>
        </w:rPr>
        <w:t>E. 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3.1</w:t>
      </w:r>
    </w:p>
    <w:p>
      <w:r>
        <w:t>Wurde eine Rente wegen eines zu geringen Invaliditätsgrades verweigert, so wird eine neue Anmeldung nur geprüft, wenn damit glaubhaft gemacht wird, dass sich der Grad der Invalidität in einer für den Anspruch erheblichen Weise geändert hat (Art. 87 Abs. 3 in Verbindung mit Abs. 2 IVV [SR 831.201]).</w:t>
      </w:r>
    </w:p>
    <w:p>
      <w:r>
        <w:t>Die zeitliche Vergleichsbasis für die Frage, ob eine rentenrelevante Veränderung des Sachverhalts glaubhaft ist, bildet der Zeitpunkt der letzten umfassenden materiellen Prüfung. Der Vergleichszeitraum erstreckt sich grundsätzlich bis zur Prüfung und Beurteilung des Gesuchs, d.h. bis zum Erlass der Verfügung betreffend die Neuanmeldung. Für die beschwerdeweise Überprüfung einer Nichteintretensverfügung ist somit der Sachverhalt, wie er sich der Verwaltung bot, resp. die Aktenlage bei Erlass dieser Verfügung massgeblich ( BGE 130 V 64 E. 5.2.5 S. 68 f.; Urteil 9C_683/2013 vom 2. April 2014      E. 3.3.1).</w:t>
      </w:r>
    </w:p>
    <w:p>
      <w:r>
        <w:rPr>
          <w:b/>
        </w:rPr>
        <w:t>E. 3.2</w:t>
      </w:r>
    </w:p>
    <w:p>
      <w:r>
        <w:t>Mit dem Beweismass des Glaubhaftmachens sind herabgesetzte Anforderungen an den Beweis verbunden; die Tatsachenänderung muss nicht nach dem im Sozialversicherungsrecht sonst üblichen Beweisgrad der überwiegenden Wahrscheinlichkeit ( BGE 126 V 353 E. 5b S. 360)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(Urteile I 724/99 vom       5. Oktober 2001 E. 1c/aa, nicht publiziert in: BGE 127 V 294 , aber in: SVR 2002 IV Nr. 10, 8C_341/2011 vom 27. Juni 2011 E. 2.2.1).</w:t>
      </w:r>
    </w:p>
    <w:p>
      <w:r>
        <w:rPr>
          <w:b/>
        </w:rPr>
        <w:t>E. 3.3</w:t>
      </w:r>
    </w:p>
    <w:p>
      <w:r>
        <w:t>Ob eine anspruchserhebliche Änderung nach Art. 87 Abs. 3 IVV glaubhaft gemacht ist, stellt eine vom Bundesgericht nur unter dem Blickwinkel von Art. 105 Abs. 2 BGG überprüfbare Tatfrage dar. Um eine Frage rechtlicher Natur handelt es sich hingegen, wenn zu beurteilen ist, wie hohe Anforderungen an das Glaubhaftmachen im Sinne von Art. 87 Abs. 3 IVV zu stellen sind (Urteil 8C_341/2011 vom         27. Juni 2011 E. 2.2.3 mit Hinweisen).</w:t>
      </w:r>
    </w:p>
    <w:p>
      <w:r>
        <w:rPr>
          <w:b/>
        </w:rPr>
        <w:t>E. 4.1</w:t>
      </w:r>
    </w:p>
    <w:p>
      <w:r>
        <w:t>Zur Untermauerung der geltend gemachten gesundheitlichen Verschlechterung liegen einzig folgende Dokumente bei den Akten der IV-Stelle: der Bericht des behandelnden Psychiaters Dr. med. M.________ vom 15. Juni 2012, die Bestätigung des ehemaligen Hausarztes Dr. med. L.________, Facharzt FMH für Allgemeine und Innere Medizin, vom 26. November 2012, gemäss welcher er dem Beschwerdeführer wegen eines aggressiven Durchbruchs während einer Konsultation am 11. September 2012 Praxisverbot erteilt habe, ein Schreiben des Gemeinderates N.________ vom 20. Dezember 2012, worin dem Versicherten auf Antrag des Schulrates der Gemeinde N.________ aufgrund aggressiven Verhaltens gegenüber der Schulleiterin, der Lehrerin seines Sohnes und anderen Kindern ein Hausverbot für die Schulanlage O.________, erteilt wurde, ein Austrittsbericht des Spitals I.________ vom 8. Mai 2013, betreffend seine Tochter, die sich laut diesem Bericht in suizidaler Absicht oberflächliche Schnittverletzungen an beiden Handgelenksinnenseiten zufügte, wobei der Beschwerdeführer ihr gegenüber aufgrund ihrer frustranen beruflichen Situation ausfällig geworden sei und sie zudem Angst vor seiner Reaktion bezüglich ihrer Männerbekanntschaft habe, sowie schliesslich eine Bestätigung der P.________ AG vom 14. Juni 2013 über "spezielle Streitigkeiten mit verschiedenen Personen".</w:t>
      </w:r>
    </w:p>
    <w:p>
      <w:r>
        <w:rPr>
          <w:b/>
        </w:rPr>
        <w:t>E. 4.2</w:t>
      </w:r>
    </w:p>
    <w:p>
      <w:r>
        <w:t>Die Vorinstanz hat mit Blick auf den Vergleichszeitpunkt bei Erlass der Verfügung vom 1. Juli 2013 festgestellt, in Bezug auf die Persönlichkeitsstörung mit Impulsdurchbrüchen seien keine Dokumente für eine hinreichend glaubhaft gemachte (anspruchsrelevante) Verschlechterung eingereicht worden. Dr. med. M.________ habe in seinem Bericht vom 15. Juni 2012 weitgehend die gleichen Diagnosen wie die Klinik H.________ im Rahmen der stationären psychiatrischen Begutachtung im Oktober 2009 gestellt. Die vorhandene Impulsstörung und die Gefahr aggressiven Verhaltens sei bereits vor der letzten Leistungsablehnung hinlänglich bekannt gewesen. Das unberechenbare Verhalten des Beschwerdeführers möge für sein Umfeld schwierig und die Gefahr verwirklichter Impulsdurchbrüche real sein. Die Tatsache, dass sich die bereits berücksichtigte Gefahr von Impulsdurchbrüchen zwischenzeitlich in drei Einzelfällen mehr oder weniger gravierend manifestiert habe, vermöge keine Veränderung der tatsächlichen Verhältnisse glaubhaft zu machen.</w:t>
      </w:r>
    </w:p>
    <w:p>
      <w:r>
        <w:rPr>
          <w:b/>
        </w:rPr>
        <w:t>E. 4.3</w:t>
      </w:r>
    </w:p>
    <w:p>
      <w:r>
        <w:t>Dass diese Sachverhaltsfeststellungen offensichtlich unrichtig sein oder auf einer Rechtsverletzung beruhen sollen, vermag der Beschwerdeführer nicht darzutun. Entgegen seinen Darlegungen durfte die Vorinstanz ohne Bundesrecht zu verletzen schliessen, dass sich u.a. aus den Ausführungen des Dr. med. M.________ in seinem Bericht vom 15. Juni 2012 keine glaubhaft gemachte anspruchserhebliche Verschlechterung des Gesundheitszustands ergibt. Aus seinen zur erheblichen Verschlechterung des psychischen Krankheitsbildes einzig erwähnten drei Vorfällen (Praxisverbot bei Dr. med. L.________, Arealverbot Schulanlage O.________, Vorfall betreffend Tochter) ergeben sich keine (medizinischen) Hinweise für eine rentenrelevante Verschlechterung. Die geschilderten Probleme am Arbeitsplatz bei der Firma Q.________ AG, betrafen sodann, wie die Vorinstanz darlegte, einen bereits bei der erstmaligen Leistungsablehnung berücksichtigten Zeitraum.</w:t>
      </w:r>
    </w:p>
    <w:p>
      <w:r>
        <w:rPr>
          <w:b/>
        </w:rPr>
        <w:t>E. 4.4</w:t>
      </w:r>
    </w:p>
    <w:p>
      <w:r>
        <w:t>Weiter hat die Vorinstanz die Beschwerde zu Recht einzig unter dem Gesichtswinkel der Neuanmeldung geprüft, da Gegenstand des kantonalen Gerichtsverfahrens einzig die Frage bildete, ob die IV-Stelle mit der angefochtenen Verfügung vom 1. Juli 2013 zu Recht nicht auf die Neuanmeldung des Beschwerdeführers zum Leistungsbezug eingetreten ist, wogegen die Vorinstanz auf den Antrag betreffend Wiedererwägung der mit bundesgerichtlichem Urteil 8C_979/2012 vom 15. März 2013 in Rechtskraft erwachsenen Verfügung vom 25. Oktober 2011 nicht einzutreten hatte ( Art. 61 und Art. 2 Abs. 2 BGG ). Nachdem das Bundesgericht mit Urteil 8F_13/2013 vom 11. Dezember 2013 ein Gesuch um prozessuale Revision dieses Urteils abgewiesen hat, erübrigen sich Weiterungen hinsichtlich der namentlich gestützt auf den Bericht des Dr. med. M.________ vom 15. Juni 2012 vom Beschwerdeführer erneut verlangten prozessualen Revision. Eine Verletzung von Bundesrecht oder von Art. 6 EMRK liegt nicht vor.</w:t>
      </w:r>
    </w:p>
    <w:p>
      <w:r>
        <w:rPr>
          <w:b/>
        </w:rPr>
        <w:t>E. 4.5</w:t>
      </w:r>
    </w:p>
    <w:p>
      <w:r>
        <w:t>Ist eine rentenrelevante Veränderung des Sachverhalts nicht glaubhaft, hat es beim vorinstanzlichen Entscheid sein Bewenden. Auf den letztinstanzlich vorgebrachten Antrag, es seien gesetzliche Leistungen zu gewähren, ist nicht einzutreten.</w:t>
      </w:r>
    </w:p>
    <w:p>
      <w:r>
        <w:rPr>
          <w:b/>
        </w:rPr>
        <w:t>E. 5</w:t>
      </w:r>
    </w:p>
    <w:p>
      <w:r>
        <w:t>Die Gerichtskosten werden dem unterliegenden Beschwerdeführer auferlegt ( Art. 66 Abs. 1 BGG ). Dem Gesuch um unentgeltliche Rechtspflege (im Sinne der vorläufigen Befreiung von den Gerichtskosten und der unentgeltlichen Verbeiständung) kann nicht entsprochen werden, da die letztinstanzliche Beschwerde von vornherein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