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315/2016 vom 20. Juni 2016</w:t>
      </w:r>
    </w:p>
    <w:p>
      <w:r>
        <w:t>Bundesgericht, 2016-06-20, DE</w:t>
      </w:r>
    </w:p>
    <w:p>
      <w:r>
        <w:rPr>
          <w:b/>
        </w:rPr>
        <w:t xml:space="preserve">Quelle: </w:t>
      </w:r>
      <w:r>
        <w:t>https://mcp.opencaselaw.ch/entscheid/bger_8C_315_2016</w:t>
      </w:r>
    </w:p>
    <w:p>
      <w:r>
        <w:t>FR: TF 8C 315/2016 du 20 juin 2016</w:t>
      </w:r>
    </w:p>
    <w:p>
      <w:r>
        <w:t>IT: TF 8C 315/2016 del 20 giugno 2016</w:t>
      </w:r>
    </w:p>
    <w:p>
      <w:pPr>
        <w:pStyle w:val="Heading2"/>
      </w:pPr>
      <w:r>
        <w:t>Regeste</w:t>
      </w:r>
    </w:p>
    <w:p>
      <w:r>
        <w:t>Invalidenversicherung (Invalidenrente; Neuanmeldung)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die gesetzlichen Grundlagen ( Art. 87 Abs. 2 und 3 IVV ) und die Grundsätze ( BGE 130 V 64 E. 5.2.5 S. 68 f.; 109 V 108 E. 2b S. 114; 262 E. 3 S. 264; Urteile 8C_844/2012 vom 5. Juni 2013 E. 2.3 und 8C_196/2088 vom 5. Juni 2008) für das Eintreten auf eine Neuanmeldung nach vorangegangener rechtskräftiger Rentenaufhebung zutreffend dargelegt. Darauf wird verwiesen.</w:t>
      </w:r>
    </w:p>
    <w:p>
      <w:r>
        <w:rPr>
          <w:b/>
        </w:rPr>
        <w:t>E. 2.2</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Für die beschwerdeweise Überprüfung einer Nichteintretensverfügung ist somit der Sachverhalt, wie er sich der Verwaltung bot, resp. die Aktenlage bei Erlass dieser Verfügung massgeblich ( BGE 130 V 64 E. 5.2.5 S. 68 f.; Urteil 9C_683/2013 vom 2. April 2014 E. 3.3.1). Es ist folglich zu prüfen, ob der Versicherte für den Zeitraum vom 16. August 2012 bis zum 18. November 2014 eine anspruchsbeeinflussende Tatsachenänderung glaubhaft gemacht hat.</w:t>
      </w:r>
    </w:p>
    <w:p>
      <w:r>
        <w:rPr>
          <w:b/>
        </w:rPr>
        <w:t>E. 2.3</w:t>
      </w:r>
    </w:p>
    <w:p>
      <w:r>
        <w:t>Ob das kantonale Gericht das richtige Beweismass (Glaubhaftmachung) angewandt hat, ist eine vom Bundesgericht frei zu prüfende Rechtsfrage. Demgegenüber beschlägt die Bewertung der dem Gericht vorgelegten Beweismittel die Beweiswürdigung, die vom Bundesgericht nur unter dem eingeschränkten Gesichtspunkt von Art. 97 BGG geprüft wird ( BGE 130 V 64 E. 5.2.5 S. 68 f.; Urteile 8C_183/2016 vom 9. Mai 2016 E. 2.1, 9C_683/2013 vom 2. April 2014).</w:t>
      </w:r>
    </w:p>
    <w:p>
      <w:r>
        <w:rPr>
          <w:b/>
        </w:rPr>
        <w:t>E. 3.1</w:t>
      </w:r>
    </w:p>
    <w:p>
      <w:r>
        <w:t>Das kantonale Gericht hat verbindlich (E. 1 und 2.3 hievor) festgestellt, die Verfügung vom 16. August 2012 beruhe auf der Expertise des Ärztlichen Begutachtungsinstitutes Basel (ABI) vom 29. November 2011, worin für körperlich leichte und mittelschwer belastende Tätigkeiten eine volle Arbeitsfähigkeit attestiert worden ist. Es ist der Auffassung, dem Versicherten sei es nicht gelungen, eine anspruchsrelevante gesundheitliche Verschlechterung bis zum Erlass der Nichteintretensverfügung vom 18. November 2014 glaubhaft zu machen. Folglich hat es diese bestätigt.</w:t>
      </w:r>
    </w:p>
    <w:p>
      <w:r>
        <w:rPr>
          <w:b/>
        </w:rPr>
        <w:t>E. 3.2</w:t>
      </w:r>
    </w:p>
    <w:p>
      <w:r>
        <w:t>Beschwerdeweise wird geltend gemacht, die Vorinstanz habe nicht berücksichtigt, dass Dr. med. B.________ in seinem Bericht vom 15. Februar 2014 auf eine neuropsychologische Beeinträchtigung infolge der vielen Operationen am Herz hingewiesen und eine Vermittelbarkeit des Versicherten ausdrücklich verneint habe. Das kantonale Gericht habe zu Unrecht den Bericht der Neuropsychologin Dr. phil. C.________ vom 6. Januar 2015 nicht in seinen Entscheid miteinbezogen und bei der Prüfung der Glaubhaftmachung einer anspruchsrelevanten gesundheitlichen Verschlechterung einen zu strengen Massstab angesetzt.</w:t>
      </w:r>
    </w:p>
    <w:p>
      <w:r>
        <w:rPr>
          <w:b/>
        </w:rPr>
        <w:t>E. 4.1</w:t>
      </w:r>
    </w:p>
    <w:p>
      <w:r>
        <w:t>In Würdigung des im Rahmen der Neuanmeldung vom 4. März 2014 eingereichten medizinischen Berichtes des Dr. med. B.________ vom 15. Februar 2014 verneinte das kantonale Gericht die Glaubhaftmachung einer gesundheitlichen Verschlechterung. Es legte im Wesentlichen dar, eine Progredienz der koronaren Herzkrankheit sei zwar glaubhaft gemacht, nicht hingegen eine Verschlechterung der Arbeitsfähigkeit. Der Arzt verneine nicht die Zumutbarkeit einer Erwerbstätigkeit, sondern zweifle an der Vermittelbarkeit des Beschwerdeführers. Der Arzt berücksichtige dabei invaliditätsfremde Faktoren wie Alter und Ausbildung. Das lasse nicht auf eine für den Invaliditätsgrad relevante Veränderung schliessen. Auch die geltend gemachte Beeinträchtigung durch die Einnahme eines bestimmten Medikamentes weise nicht auf veränderte Verhältnisse hin, habe dieses doch bereits im Vergleichszeitpunkt zur aktuellen Medikation des Versicherten gehört.</w:t>
      </w:r>
    </w:p>
    <w:p>
      <w:r>
        <w:rPr>
          <w:b/>
        </w:rPr>
        <w:t>E. 4.2</w:t>
      </w:r>
    </w:p>
    <w:p>
      <w:r>
        <w:t>Dass diese Sachverhaltsfeststellungen offensichtlich unrichtig sein oder auf einer Rechtsverletzung beruhen sollen, ist nicht ersichtlich. Sie bleiben daher für das Bundesgericht verbindlich (E. 1). Dies gilt auch für den daraus gezogenen Schluss, mit den vorliegend zu beachtenden medizinischen Akten sei keine rentenbeeinflussende Verschlechterung des Gesundheitszustands glaubhaft gemacht worden. Es ist auch nicht ersichtlich, inwiefern das kantonale Gericht in seiner Beurteilung zu hohe Anforderungen an die Glaubhaftmachung einer gesundheitlichen Verschlechterung gestellt haben könnte. Der Beschwerdeführer begründet diesen Vorwurf denn auch hauptsächlich damit, es lägen rund zweieinhalb Jahre zwischen der Rentenaufhebungsverfügung und dem Nichteintreten auf die Neuanmeldung. Das ist seines Erachtens eine lange Zeit, weshalb keine zu hohen Anforderungen gestellt werden dürften. Zudem hätten die Ausführungen im Bericht des Dr. med. B.________ die IV-Stelle zumindest veranlassen müssen, weitere Abklärungen zu treffen. Dabei übersieht er, dass im Rahmen der Neuanmeldung der Untersuchungsgrundsatz eingeschränkt ist ( BGE 130 V 64 E. 5.2.5 S. 68). Bieten die einer Neuanmeldung zu Grunde liegenden Aktenstücke - wie vorliegend - keinen klaren Hinweis für einen Eintretenstatbestand, ist es nicht Sache der Verwaltung oder des Gerichts, von Amtes wegen für die richtige und vollständige Abklärung des rechtserheblichen Sachverhaltes zu sorgen oder den Gesuchsteller aufzufordern, entsprechend Belege beizubringen.</w:t>
      </w:r>
    </w:p>
    <w:p>
      <w:r>
        <w:rPr>
          <w:b/>
        </w:rPr>
        <w:t>E. 4.3</w:t>
      </w:r>
    </w:p>
    <w:p>
      <w:r>
        <w:t>Schliesslich hat das kantonale Gericht entgegen den Ausführungen in der Beschwerde auch zu Recht den Bericht der Dr. phil. C.________ von der D.________ AG vom 6. Januar 2015 nicht in seine Beurteilung miteinbezogen. Streitgegenstand ist, ob die Verwaltung zu Recht nicht auf die Neuanmeldung eingetreten ist. Damit versteht sich von selbst, dass Aktenstücke, die erst nach Erlass der Eintretensverfügung entstanden sind, nicht dazu beitragen können, einen bestimmten Sachverhalt im Zeitpunkt des Entscheides über das Eintreten auf eine Neuanmeldung glaubhafter zu machen. Für die beschwerdeweise Überprüfung einer Nichteintretensverfügung ist somit der Sachverhalt, wie er sich der Verwaltung bot, resp. die Aktenlage bei Erlass dieser Verfügung massgeblich ( BGE 130 V 64 E. 5.2.5 S. 68 f.; Urteil 9C_683/2013 vom 2. April 2014 E. 3.3.1).</w:t>
      </w:r>
    </w:p>
    <w:p>
      <w:r>
        <w:rPr>
          <w:b/>
        </w:rPr>
        <w:t>E. 4.4</w:t>
      </w:r>
    </w:p>
    <w:p>
      <w:r>
        <w:t>Zusammenfassend hat es beim angefochtenen Entscheid sein Bewenden.</w:t>
      </w:r>
    </w:p>
    <w:p>
      <w:r>
        <w:rPr>
          <w:b/>
        </w:rPr>
        <w:t>E. 5</w:t>
      </w:r>
    </w:p>
    <w:p>
      <w:r>
        <w:t>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