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314/2024 vom 23. Dezember 2024</w:t>
      </w:r>
    </w:p>
    <w:p>
      <w:r>
        <w:t>Bundesgericht, 2024-12-23, FR</w:t>
      </w:r>
    </w:p>
    <w:p>
      <w:r>
        <w:rPr>
          <w:b/>
        </w:rPr>
        <w:t xml:space="preserve">Quelle: </w:t>
      </w:r>
      <w:r>
        <w:t>https://mcp.opencaselaw.ch/entscheid/bger_8C_314_2024</w:t>
      </w:r>
    </w:p>
    <w:p>
      <w:r>
        <w:t>FR: TF 8C 314/2024 du 23 décembre 2024</w:t>
      </w:r>
    </w:p>
    <w:p>
      <w:r>
        <w:t>IT: TF 8C 314/2024 del 23 dicembre 2024</w:t>
      </w:r>
    </w:p>
    <w:p>
      <w:pPr>
        <w:pStyle w:val="Heading2"/>
      </w:pPr>
      <w:r>
        <w:t>Regeste</w:t>
      </w:r>
    </w:p>
    <w:p>
      <w:r>
        <w:t>Prestation complémentaire à l'AVS/AI | Prestations complémentaires à l'AVS/AI</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2.2</w:t>
      </w:r>
    </w:p>
    <w:p>
      <w:r>
        <w:t>Le Tribunal fédéral applique le droit d'office ( art. 106 al. 1 LTF ). Toutefois, il ne peut revoir les questions de droit cantonal et de droit communal que sous l'angle restreint de l'arbitraire (sur cette notion, cf. ATF 145 I 108 consid. 4.4.1; 143 I 321 consid. 6.1), dans le cadre d'un moyen tiré de la violation d'un droit constitutionnel (cf. art. 95 et 96 LTF a contrario), expressément soulevé et développé conformément aux exigences de motivation accrues prévues à l' art. 106 al. 2 LTF .</w:t>
      </w:r>
    </w:p>
    <w:p>
      <w:r>
        <w:rPr>
          <w:b/>
        </w:rPr>
        <w:t>E. 3</w:t>
      </w:r>
    </w:p>
    <w:p>
      <w:r>
        <w:t>Le litige porte sur le droit du recourant aux prestations complémentaires fédérales et cantonales, en particulier sur la question de savoir si les conditions de l' art. 5 al. 1 LPC sont réalisées en l'espèce.</w:t>
      </w:r>
    </w:p>
    <w:p>
      <w:r>
        <w:rPr>
          <w:b/>
        </w:rPr>
        <w:t>E. 4</w:t>
      </w:r>
    </w:p>
    <w:p>
      <w:r>
        <w:t>L'arrêt attaqué expose correctement les règles applicables à la solution du litige, en indiquant en particulier que selon l' art. 5 al. 1 LPC , dans sa teneur en vigueur jusqu'au 1er janvier 2023,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Le tribunal cantonal a aussi à juste titre précisé que la condition du séjour légal en Suisse n'est qu'une reprise de la jurisprudence du Tribunal fédéral déjà applicable avant l'entrée en vigueur de la disposition en question (cf. arrêts 9C_423/2013 du 26 août 2014 consid. 4.2 et 4.3; P 42/90 du 8 janvier 1992). Dans son jugement, l'instance précédente a en outre rappelé que, d'après la jurisprudence cantonale, ce critère s'applique également dans le cadre de l'application de la loi (genevoise) sur les prestations complémentaires cantonales du 25 octobre 1968 (LPCC; RS/GE J 4 25). Il suffit d'y renvoyer.</w:t>
      </w:r>
    </w:p>
    <w:p>
      <w:r>
        <w:rPr>
          <w:b/>
        </w:rPr>
        <w:t>E. 5</w:t>
      </w:r>
    </w:p>
    <w:p>
      <w:r>
        <w:t>Les premiers juges ont constaté que le recourant avait certes rendu vraisemblable qu'il résidait en Suisse depuis plus de dix ans au moment du dépôt de sa dernière demande de prestations complémentaires. Cependant, il était constant qu'il n'avait été à aucun moment au bénéfice d'un titre de séjour pendant le délai de carence et que cette situation était toujours d'actualité au moment de la décision litigieuse. Celle-ci ne prêtait donc pas le flanc à la critique en tant qu'elle retenait que le recourant ne pouvait pas prétendre à des prestations complémentaires fédérales ou cantonales. La jurisprudence rendue en matière d'assurance-invalidité, selon laquelle le défaut de l'autorisation de travail exigée par le droit public n'exclut pas le droit à des prestations de l'assurance-invalidité lorsqu'un travailleur étranger tombe malade ou est victime d'un accident (cf. ATF 118 V 79 ), ne s'appliquait pas au cas d'espèce. En effet, les prestations complémentaires n'étaient pas financées par des cotisations d'assurances comme en matière d'AVS et d'AI, mais par le budget général de la Confédération et des cantons. Le fait qu'un étranger qui réside illégalement en Suisse ait, le cas échéant, versé des cotisations AVS pendant une période supérieure à celle du délai de carence de l' art. 5 al. 1 LPC ne saurait suppléer à l'exigence de la résidence légale en Suisse (arrêt 9C_423/2013 précité consid. 4.2 et 4.3). Par ailleurs, ce n'était pas parce que l'office cantonal genevois de la population et des migrations avait refusé un permis de séjour au recourant, tout en renonçant à prononcer son expulsion administrative, que cette autorité lui aurait donné, par ce biais, l'assurance que son séjour, toléré de facto en Suisse, serait considéré comme légal dans la perspective d'un droit à des prestations complémentaires.</w:t>
      </w:r>
    </w:p>
    <w:p>
      <w:r>
        <w:rPr>
          <w:b/>
        </w:rPr>
        <w:t>E. 6.1</w:t>
      </w:r>
    </w:p>
    <w:p>
      <w:r>
        <w:t>Le recourant se plaint d'une violation des art. 7 et 12 Cst. , ainsi que des art. 4 et 5 LPC . En s'appuyant sur l' ATF 118 V 79 , il soutient qu'il aurait droit aux prestations complémentaires en raison de l'assujettissement fiscal dont il aurait fait objet durant toute la période où il a travaillé en Suisse, ayant ainsi participé au budget général de la Confédération et des cantons finançant les prestations auxquelles il prétend. En outre, dès lors qu'une autorité judiciaire lui aurait imposé de ne pas quitter la Suisse, il serait erroné de retenir que son séjour ne serait que "toléré" par les autorités. En refusant d'octroyer au recourant les prestations complémentaires requises, dont il aurait besoin pour vivre en Suisse, la décision violerait son droit à la dignité humaine et son droit d'obtenir de l'aide dans des situations de détresse.</w:t>
      </w:r>
    </w:p>
    <w:p>
      <w:r>
        <w:rPr>
          <w:b/>
        </w:rPr>
        <w:t>E. 6.2</w:t>
      </w:r>
    </w:p>
    <w:p>
      <w:r>
        <w:t>Les critiques sont mal fondées. En l'absence d'autorisation de séjour, celui-ci ne peut pas être considéré comme étant légal au sens de l' art. 5 al. 1 LPC . Le fait que le recourant ne puisse pas être expulsé ou qu'une mesure pénale soit en cours d'exécution ne permet pas de retenir le contraire. Ces éléments pourraient tout au plus avoir une pertinence dans le cadre de la procédure d'octroi d'une autorisation de séjour, soit lors d'une étape préalable à une demande de prestations complémentaires. Ainsi, comme rappelé par la cour cantonale (cf. consid. 4 supra), le bien-fondé d'une telle demande présuppose le séjour légal du requérant, ce qui rend sans pertinence l'argument relatif aux circonstances du séjour prolongé du recourant en Suisse. Il en va de même des griefs tirés de l' ATF 118 V 79 , visant à transposer purement et simplement dans le cas d'espèce les principes développés dans cet arrêt, bien que le présent litige ne concerne ni le droit à des prestations de l'assurance-invalidité, ni l'existence d'une autorisation de travail (cf. aussi arrêt 9C_38/2020 du 20 octobre 2020 consid. 3). Enfin, les critiques relatives à la prétendue violation des art. 7 et 12 Cst. ne satisfont pas aux exigences de motivation accrue de l' art. 106 al. 2 LTF (cf. consid. 2.2 supra), ce qui les rend irrecevables.</w:t>
      </w:r>
    </w:p>
    <w:p>
      <w:r>
        <w:rPr>
          <w:b/>
        </w:rPr>
        <w:t>E. 7</w:t>
      </w:r>
    </w:p>
    <w:p>
      <w:r>
        <w:t>Il s'ensuit que le recours doit être rejeté. Le recourant, qui succombe, supportera les frais de la procédure ( art. 66 al. 1 LTF ). L'assistance judiciaire lui est cependant accordée, les conditions en étant réalisées ( art. 64 LTF ). Il est rendu attentif au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