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313/2021 vom 3. August 2021</w:t>
      </w:r>
    </w:p>
    <w:p>
      <w:r>
        <w:t>Bundesgericht, 2021-08-03, FR</w:t>
      </w:r>
    </w:p>
    <w:p>
      <w:r>
        <w:rPr>
          <w:b/>
        </w:rPr>
        <w:t xml:space="preserve">Quelle: </w:t>
      </w:r>
      <w:r>
        <w:t>https://mcp.opencaselaw.ch/entscheid/bger_8C_313_2021</w:t>
      </w:r>
    </w:p>
    <w:p>
      <w:r>
        <w:t>FR: TF 8C 313/2021 du 3 août 2021</w:t>
      </w:r>
    </w:p>
    <w:p>
      <w:r>
        <w:t>IT: TF 8C 313/2021 del 3 agosto 2021</w:t>
      </w:r>
    </w:p>
    <w:p>
      <w:pPr>
        <w:pStyle w:val="Heading2"/>
      </w:pPr>
      <w:r>
        <w:t>Regeste</w:t>
      </w:r>
    </w:p>
    <w:p>
      <w:r>
        <w:t>Assurance-chômage (suspension du droit à l'indemnité) | Assurance-chômage</w:t>
      </w:r>
    </w:p>
    <w:p>
      <w:pPr>
        <w:pStyle w:val="Heading2"/>
      </w:pPr>
      <w:r>
        <w:t>Erwägungen</w:t>
      </w:r>
    </w:p>
    <w:p>
      <w:r>
        <w:rPr>
          <w:b/>
        </w:rPr>
        <w:t>E. 1</w:t>
      </w:r>
    </w:p>
    <w:p>
      <w:r>
        <w:t>D'après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(RS 837.0) dans le domaine de l'assurance-chômage. 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rectifier ou compléter les constatations de l'autorité précédente que si les faits ont été établis de façon manifestement inexacte - à savoir arbitraire au sens de l' art. 9 Cst. ( ATF 140 III 115 consid. 2; 137 II 353 consid. 5.1) - ou en violation du droit au sens de l' art. 95 LTF ( art. 105 al. 2 LTF ), ce qu'il appartient à la partie recourante de démontrer par une argumentation répondant aux exigences de l' art. 106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Le litige porte sur le point de savoir si la cour cantonale était fondée à réduire de 34 à 20 jours la durée de la suspension du droit de l'intimée à l'indemnité de chômage prononcée par l'OCE en raison du refus d'un emploi convenable.</w:t>
      </w:r>
    </w:p>
    <w:p>
      <w:r>
        <w:rPr>
          <w:b/>
        </w:rPr>
        <w:t>E. 4.1</w:t>
      </w:r>
    </w:p>
    <w:p>
      <w:r>
        <w:t>Selon l' art. 30 al. 1 let . d LACI, le droit de l'assuré à l'indemnité est suspendu lorsqu'il est établi que celui-ci n'observe pas les prescriptions de contrôle du chômage ou les instructions de l'autorité compétente, notamment refuse un travail convenable. D'après la jurisprudence, l' art. 30 al. 1 let .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 ATF 122 V 34 consid. 3b; arrêt 8C_24/2021 du 10 juin 2021 consid. 3.1 et les références).</w:t>
      </w:r>
    </w:p>
    <w:p>
      <w:r>
        <w:rPr>
          <w:b/>
        </w:rPr>
        <w:t>E. 4.2</w:t>
      </w:r>
    </w:p>
    <w:p>
      <w:r>
        <w:t>Selon l' art. 45 al. 3 OACI (RS 837.02), la suspension dure de 1 à 15 jours en cas de faute légère (let. a), de 16 à 30 jours en cas de faute de gravité moyenne (let. b) et de 31 à 60 jours en cas de faute grave (let. c). Le refus d'un emploi réputé convenable sans motif valable constitue, selon l' art. 30 al. 3 LACI en lien avec l' art. 45 al. 4 let. b OACI , une faute grave, laquelle est sanctionnée par une suspension du droit à l'indemnité de chômage d'une durée comprise entre 31 et 60 jours ( art. 45 al. 3 let . c OACI). Même en cas de refus d'emploi, il est possible, exceptionnellement, de fixer un nombre de jours de suspension inférieur à 31 jours, en présence de circonstances particulières. Il faut cependant qu'il existe un motif valable, soit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exemple la durée déterminée du poste) ( ATF 130 V 125 consid. 3.5; BORIS RUBIN, Commentaire de la loi sur l'assurance-chômage, 2014, n° 117 ad art. 30 LACI ).</w:t>
      </w:r>
    </w:p>
    <w:p>
      <w:r>
        <w:rPr>
          <w:b/>
        </w:rPr>
        <w:t>E. 5.1</w:t>
      </w:r>
    </w:p>
    <w:p>
      <w:r>
        <w:t>La cour cantonale a retenu que l'OCE avait, par courrier du 10 décembre 2019, invité l'intimée à présenter d'ici au 12 décembre 2019 une offre de service par internet pour un poste d'assistante à plein temps auprès de la Fondation B.________. L'intimée avait toutefois mal recopié le lien internet permettant de postuler. Lorsqu'elle s'était rendu compte que le lien ne marchait pas, elle n'avait pas tenté d'atteindre sa conseillère en personnel pour le lui signaler et s'était bornée à envoyer une demande de contact LinkedIn à l'auteur de l'annonce du poste. L'intimée était en effet particulièrement occupée à rechercher un emploi dans le secteur bancaire et n'avait pas pris l'initiative de joindre la Fondation B.________ par téléphone comme elle le faisait pour postuler auprès de banques. Selon les premiers juges, l'intimée avait commis une faute qui pouvait être qualifiée de "moyennement grave". La cour cantonale a encore constaté qu'il s'agissait du premier manquement de l'intimée et que celle-ci s'était toujours montrée très active dans ses recherches d'emploi. En outre, l'intimée avait toujours respecté ses autres obligations de chômeuse. Partant, il convenait de réduire la sanction à 20 jours de suspension du droit à l'indemnité de chômage en application du principe de la proportionnalité.</w:t>
      </w:r>
    </w:p>
    <w:p>
      <w:r>
        <w:rPr>
          <w:b/>
        </w:rPr>
        <w:t>E. 5.2</w:t>
      </w:r>
    </w:p>
    <w:p>
      <w:r>
        <w:t>Le SECO fait valoir qu'il n'existerait pas en l'occurrence de motif justifiant un écart par rapport à l'échelle de suspension en cas de faute grave (31 à 60 jours). Par conséquent, la cour cantonale aurait violé le droit fédéral ( art. 45 al. 3 OACI et art. 45 al. 4 let. b OACI ) en réduisant la durée de suspension des indemnités de chômage de 34 à 20 jours.</w:t>
      </w:r>
    </w:p>
    <w:p>
      <w:r>
        <w:rPr>
          <w:b/>
        </w:rPr>
        <w:t>E. 5.3</w:t>
      </w:r>
    </w:p>
    <w:p>
      <w:r>
        <w:t>En l'espèce, il n'est pas contesté par les parties que les conditions de l' art. 30 al. 1 let . d LACI sont remplies puisque l'intimée n'avait pas postulé à l'emploi assigné. A juste titre, la juridiction cantonale a retenu que l'envoi d'une requête LinkedIn à l'auteur de l'annonce du poste était une démarche largement insuffisante et que l'intimée aurait dû contacter sa conseillère en personnel pour lui signaler le problème. L'arrêt attaqué ne fait pas état d'un motif valable qui ferait apparaître la faute de l'intimée comme étant de gravité moyenne ou légère. Les premiers juges ont motivé la réduction à 20 jours de suspension de l'indemnité de chômage uniquement par le fait que l'intimée prenait au sérieux ses obligations de chômeuse (premier manquement, chômeuse très active dans ses recherches d'emploi). Si le fait de prendre au sérieux ses obligations de chômeuse est une circonstance pertinente pour fixer la durée de la suspension, elle ne constitue pas pour autant un motif valable pour refuser un travail convenable (arrêt 8C_650/2017 du 25 juin 2018 consid. 7.4). Les circonstances prises en compte par les premiers juges ne sont pertinentes que pour fixer la durée de la suspension à l'intérieur du cadre légal. Or en réduisant la durée de la suspension à 20 jours, les premiers juges sont manifestement sortis de ce cadre, fixé entre 31 et 60 jours en cas de faute grave au sens de l' art. 30 al. 3 LACI en lien avec l' art. 45 al. 4 let. b OACI . En outre, ils n'ont pas fait état d'un motif valable lié à la situation subjective de l'intimée ou à des circonstances objectives, étant précisé que de faibles chances d'obtenir le poste assigné - argument avancé par l'intimée au long de la procédure - ne constituent pas un motif valable (arrêt C 143/04 du 22 octobre 2004 consid. 3.2). On relèvera finalement qu'en cas de faute grave sans motif valable, la valeur moyenne dans l'échelle de suspension de 31 à 60 jours prévue par l' art. 45 al. 3 let . c OACI doit être retenue comme point de départ pour l'appréciation individuelle de la faute ( ATF 123 V 150 consid. 3c; arrêt 8C_24/2021 précité consid. 6 et les références). En l'espèce, en fixant à 34 jours la suspension du droit à l'indemnité de chômage, l'OCE s'était déjà écarté considérablement de la moyenne de 45 jours de suspension et avait ainsi dûment tenu compte, en faveur de l'intimée, des circonstances évoquées par les premiers juges.</w:t>
      </w:r>
    </w:p>
    <w:p>
      <w:r>
        <w:rPr>
          <w:b/>
        </w:rPr>
        <w:t>E. 6</w:t>
      </w:r>
    </w:p>
    <w:p>
      <w:r>
        <w:t>Vu ce qui précède, le recours se révèle bien fondé et l'arrêt attaqué doit être annulé.</w:t>
      </w:r>
    </w:p>
    <w:p>
      <w:r>
        <w:rPr>
          <w:b/>
        </w:rPr>
        <w:t>E. 7</w:t>
      </w:r>
    </w:p>
    <w:p>
      <w:r>
        <w:t>L'intimée, qui succombe, supportera les frais judiciaires ( art. 66 al. 1 LTF ). Contrairement à ses conclusions, le recourant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